
<file path=[Content_Types].xml><?xml version="1.0" encoding="utf-8"?>
<Types xmlns="http://schemas.openxmlformats.org/package/2006/content-types">
  <Override PartName="/word/fontTable1.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439" w:rsidRDefault="00B22439" w:rsidP="00E74E23">
      <w:pPr>
        <w:spacing w:line="556" w:lineRule="auto"/>
        <w:jc w:val="both"/>
        <w:rPr>
          <w:rFonts w:ascii="Tahoma" w:hAnsi="Tahoma"/>
          <w:b/>
          <w:color w:val="000000"/>
          <w:sz w:val="24"/>
        </w:rPr>
      </w:pPr>
      <w:r w:rsidRPr="00DF11B6">
        <w:rPr>
          <w:rFonts w:ascii="Tahoma" w:hAnsi="Tahoma"/>
          <w:b/>
          <w:color w:val="000000"/>
          <w:sz w:val="24"/>
        </w:rPr>
        <w:pict>
          <v:shapetype id="_x0000_t202" coordsize="21600,21600" o:spt="202" path="m,l,21600r21600,l21600,xe">
            <v:stroke joinstyle="miter"/>
            <v:path gradientshapeok="t" o:connecttype="rect"/>
          </v:shapetype>
          <v:shape id="_x0000_s0" o:spid="_x0000_s1027" type="#_x0000_t202" style="position:absolute;left:0;text-align:left;margin-left:0;margin-top:665.75pt;width:468pt;height:8.8pt;z-index:-251659264;mso-wrap-distance-left:0;mso-wrap-distance-right:0" filled="f" stroked="f">
            <v:textbox inset="0,0,0,0">
              <w:txbxContent>
                <w:p w:rsidR="00B22439" w:rsidRDefault="00E74E23">
                  <w:pPr>
                    <w:spacing w:line="167" w:lineRule="exact"/>
                    <w:jc w:val="center"/>
                    <w:rPr>
                      <w:rFonts w:ascii="Verdana" w:hAnsi="Verdana"/>
                      <w:color w:val="000000"/>
                      <w:sz w:val="20"/>
                    </w:rPr>
                  </w:pPr>
                  <w:r>
                    <w:rPr>
                      <w:rFonts w:ascii="Verdana" w:hAnsi="Verdana"/>
                      <w:color w:val="000000"/>
                      <w:sz w:val="20"/>
                    </w:rPr>
                    <w:t>1</w:t>
                  </w:r>
                </w:p>
              </w:txbxContent>
            </v:textbox>
            <w10:wrap type="square"/>
          </v:shape>
        </w:pict>
      </w:r>
      <w:r w:rsidR="00DF11B6" w:rsidRPr="00DF11B6">
        <w:rPr>
          <w:rFonts w:ascii="Tahoma" w:hAnsi="Tahoma"/>
          <w:b/>
          <w:color w:val="000000"/>
          <w:sz w:val="24"/>
        </w:rPr>
        <w:t>Premier Energy and Infrastructure</w:t>
      </w:r>
      <w:r w:rsidR="00E74E23">
        <w:rPr>
          <w:rFonts w:ascii="Tahoma" w:hAnsi="Tahoma"/>
          <w:b/>
          <w:color w:val="000000"/>
          <w:sz w:val="24"/>
        </w:rPr>
        <w:t xml:space="preserve"> Limited </w:t>
      </w:r>
      <w:r w:rsidR="00E74E23">
        <w:rPr>
          <w:rFonts w:ascii="Tahoma" w:hAnsi="Tahoma"/>
          <w:b/>
          <w:color w:val="000000"/>
          <w:sz w:val="24"/>
        </w:rPr>
        <w:br/>
      </w:r>
      <w:r w:rsidR="00E74E23">
        <w:rPr>
          <w:rFonts w:ascii="Arial" w:hAnsi="Arial"/>
          <w:b/>
          <w:color w:val="000000"/>
          <w:spacing w:val="-2"/>
          <w:sz w:val="29"/>
          <w:u w:val="single"/>
        </w:rPr>
        <w:t xml:space="preserve">POLICY ON MATERIAL SUBSIDIARIES </w:t>
      </w:r>
    </w:p>
    <w:p w:rsidR="00B22439" w:rsidRDefault="00E74E23" w:rsidP="00E74E23">
      <w:pPr>
        <w:numPr>
          <w:ilvl w:val="0"/>
          <w:numId w:val="1"/>
        </w:numPr>
        <w:tabs>
          <w:tab w:val="clear" w:pos="360"/>
          <w:tab w:val="decimal" w:pos="432"/>
        </w:tabs>
        <w:spacing w:before="252" w:line="206" w:lineRule="auto"/>
        <w:ind w:left="72"/>
        <w:jc w:val="both"/>
        <w:rPr>
          <w:rFonts w:ascii="Tahoma" w:hAnsi="Tahoma"/>
          <w:b/>
          <w:color w:val="000000"/>
          <w:sz w:val="21"/>
        </w:rPr>
      </w:pPr>
      <w:r>
        <w:rPr>
          <w:rFonts w:ascii="Tahoma" w:hAnsi="Tahoma"/>
          <w:b/>
          <w:color w:val="000000"/>
          <w:sz w:val="21"/>
        </w:rPr>
        <w:t>Preamble</w:t>
      </w:r>
    </w:p>
    <w:p w:rsidR="00B22439" w:rsidRDefault="00E74E23" w:rsidP="00E74E23">
      <w:pPr>
        <w:spacing w:before="252" w:line="312" w:lineRule="auto"/>
        <w:ind w:left="360"/>
        <w:jc w:val="both"/>
        <w:rPr>
          <w:rFonts w:ascii="Verdana" w:hAnsi="Verdana"/>
          <w:color w:val="000000"/>
          <w:spacing w:val="-1"/>
          <w:sz w:val="20"/>
        </w:rPr>
      </w:pPr>
      <w:r>
        <w:rPr>
          <w:rFonts w:ascii="Verdana" w:hAnsi="Verdana"/>
          <w:color w:val="000000"/>
          <w:spacing w:val="-1"/>
          <w:sz w:val="20"/>
        </w:rPr>
        <w:t xml:space="preserve">The following shall be the Policy on determining material subsidiaries of </w:t>
      </w:r>
      <w:r w:rsidR="008D53ED" w:rsidRPr="008D53ED">
        <w:rPr>
          <w:rFonts w:ascii="Verdana" w:hAnsi="Verdana"/>
          <w:color w:val="000000"/>
          <w:spacing w:val="-1"/>
          <w:sz w:val="20"/>
        </w:rPr>
        <w:t>Premier Energy and Infrastructure Limited</w:t>
      </w:r>
      <w:r>
        <w:rPr>
          <w:rFonts w:ascii="Verdana" w:hAnsi="Verdana"/>
          <w:color w:val="000000"/>
          <w:spacing w:val="-1"/>
          <w:sz w:val="20"/>
        </w:rPr>
        <w:t xml:space="preserve"> (`Company'), as approved by the Company's Board of Directors. This </w:t>
      </w:r>
      <w:r>
        <w:rPr>
          <w:rFonts w:ascii="Verdana" w:hAnsi="Verdana"/>
          <w:color w:val="000000"/>
          <w:spacing w:val="-2"/>
          <w:sz w:val="20"/>
        </w:rPr>
        <w:t>Policy is subject to the Board's review and changes, as may be appropriate, from time to time in conformity with the requirements of Clause 49 of the Listing Agreement with the Stock Exchanges.</w:t>
      </w:r>
    </w:p>
    <w:p w:rsidR="00B22439" w:rsidRDefault="00E74E23" w:rsidP="00E74E23">
      <w:pPr>
        <w:numPr>
          <w:ilvl w:val="0"/>
          <w:numId w:val="1"/>
        </w:numPr>
        <w:tabs>
          <w:tab w:val="clear" w:pos="360"/>
          <w:tab w:val="decimal" w:pos="432"/>
        </w:tabs>
        <w:spacing w:before="252"/>
        <w:ind w:left="72"/>
        <w:jc w:val="both"/>
        <w:rPr>
          <w:rFonts w:ascii="Tahoma" w:hAnsi="Tahoma"/>
          <w:b/>
          <w:color w:val="000000"/>
          <w:sz w:val="21"/>
        </w:rPr>
      </w:pPr>
      <w:r>
        <w:rPr>
          <w:rFonts w:ascii="Tahoma" w:hAnsi="Tahoma"/>
          <w:b/>
          <w:color w:val="000000"/>
          <w:sz w:val="21"/>
        </w:rPr>
        <w:t>Purpose</w:t>
      </w:r>
    </w:p>
    <w:p w:rsidR="00B22439" w:rsidRDefault="00E74E23" w:rsidP="00E74E23">
      <w:pPr>
        <w:spacing w:before="252" w:line="312" w:lineRule="auto"/>
        <w:ind w:left="360"/>
        <w:jc w:val="both"/>
        <w:rPr>
          <w:rFonts w:ascii="Verdana" w:hAnsi="Verdana"/>
          <w:color w:val="000000"/>
          <w:spacing w:val="-4"/>
          <w:sz w:val="20"/>
        </w:rPr>
      </w:pPr>
      <w:r>
        <w:rPr>
          <w:rFonts w:ascii="Verdana" w:hAnsi="Verdana"/>
          <w:color w:val="000000"/>
          <w:spacing w:val="-4"/>
          <w:sz w:val="20"/>
        </w:rPr>
        <w:t xml:space="preserve">The purpose of this Policy is to determine the material subsidiaries of the Company and to </w:t>
      </w:r>
      <w:r>
        <w:rPr>
          <w:rFonts w:ascii="Verdana" w:hAnsi="Verdana"/>
          <w:color w:val="000000"/>
          <w:spacing w:val="-3"/>
          <w:sz w:val="20"/>
        </w:rPr>
        <w:t>ensure the governance of such companies.</w:t>
      </w:r>
    </w:p>
    <w:p w:rsidR="00B22439" w:rsidRDefault="00E74E23" w:rsidP="00E74E23">
      <w:pPr>
        <w:numPr>
          <w:ilvl w:val="0"/>
          <w:numId w:val="1"/>
        </w:numPr>
        <w:tabs>
          <w:tab w:val="clear" w:pos="360"/>
          <w:tab w:val="decimal" w:pos="432"/>
        </w:tabs>
        <w:spacing w:before="288"/>
        <w:ind w:left="72"/>
        <w:jc w:val="both"/>
        <w:rPr>
          <w:rFonts w:ascii="Tahoma" w:hAnsi="Tahoma"/>
          <w:b/>
          <w:color w:val="000000"/>
          <w:sz w:val="21"/>
        </w:rPr>
      </w:pPr>
      <w:r>
        <w:rPr>
          <w:rFonts w:ascii="Tahoma" w:hAnsi="Tahoma"/>
          <w:b/>
          <w:color w:val="000000"/>
          <w:sz w:val="21"/>
        </w:rPr>
        <w:t>Definitions</w:t>
      </w:r>
    </w:p>
    <w:p w:rsidR="00B22439" w:rsidRDefault="00E74E23" w:rsidP="00E74E23">
      <w:pPr>
        <w:spacing w:before="396" w:line="271" w:lineRule="auto"/>
        <w:ind w:right="72"/>
        <w:jc w:val="both"/>
        <w:rPr>
          <w:rFonts w:ascii="Verdana" w:hAnsi="Verdana"/>
          <w:color w:val="000000"/>
          <w:spacing w:val="-1"/>
          <w:sz w:val="20"/>
        </w:rPr>
      </w:pPr>
      <w:r>
        <w:rPr>
          <w:rFonts w:ascii="Verdana" w:hAnsi="Verdana"/>
          <w:color w:val="000000"/>
          <w:spacing w:val="-1"/>
          <w:sz w:val="20"/>
        </w:rPr>
        <w:t>a) "Audit Committee" means the Audit Committee of Board of Directors of the Company;</w:t>
      </w:r>
    </w:p>
    <w:p w:rsidR="00B22439" w:rsidRDefault="00E74E23" w:rsidP="00E74E23">
      <w:pPr>
        <w:spacing w:before="360" w:line="268" w:lineRule="auto"/>
        <w:ind w:left="360"/>
        <w:jc w:val="both"/>
        <w:rPr>
          <w:rFonts w:ascii="Verdana" w:hAnsi="Verdana"/>
          <w:color w:val="000000"/>
          <w:spacing w:val="-1"/>
          <w:sz w:val="20"/>
        </w:rPr>
      </w:pPr>
      <w:r>
        <w:rPr>
          <w:rFonts w:ascii="Verdana" w:hAnsi="Verdana"/>
          <w:color w:val="000000"/>
          <w:spacing w:val="-1"/>
          <w:sz w:val="20"/>
        </w:rPr>
        <w:t>b) "Board" means the collec</w:t>
      </w:r>
      <w:r>
        <w:rPr>
          <w:rFonts w:ascii="Verdana" w:hAnsi="Verdana"/>
          <w:color w:val="000000"/>
          <w:spacing w:val="-1"/>
          <w:sz w:val="20"/>
        </w:rPr>
        <w:t>tive body of the Directors of the Company;</w:t>
      </w:r>
    </w:p>
    <w:p w:rsidR="00B22439" w:rsidRDefault="00E74E23" w:rsidP="00E74E23">
      <w:pPr>
        <w:spacing w:before="360" w:line="312" w:lineRule="auto"/>
        <w:ind w:left="720" w:hanging="360"/>
        <w:jc w:val="both"/>
        <w:rPr>
          <w:rFonts w:ascii="Verdana" w:hAnsi="Verdana"/>
          <w:color w:val="000000"/>
          <w:spacing w:val="-3"/>
          <w:sz w:val="20"/>
        </w:rPr>
      </w:pPr>
      <w:r>
        <w:rPr>
          <w:rFonts w:ascii="Verdana" w:hAnsi="Verdana"/>
          <w:color w:val="000000"/>
          <w:spacing w:val="-3"/>
          <w:sz w:val="20"/>
        </w:rPr>
        <w:t>c) "Material Non-listed Indian Subsidiary" means a Material Subsidiary of the Company, incorporated in India, whose shares are not listed on any stock exchanges;</w:t>
      </w:r>
    </w:p>
    <w:p w:rsidR="00B22439" w:rsidRDefault="00E74E23" w:rsidP="00E74E23">
      <w:pPr>
        <w:spacing w:before="324" w:line="304" w:lineRule="auto"/>
        <w:ind w:left="720" w:hanging="360"/>
        <w:jc w:val="both"/>
        <w:rPr>
          <w:rFonts w:ascii="Verdana" w:hAnsi="Verdana"/>
          <w:color w:val="000000"/>
          <w:spacing w:val="-1"/>
          <w:sz w:val="20"/>
        </w:rPr>
      </w:pPr>
      <w:r>
        <w:rPr>
          <w:rFonts w:ascii="Verdana" w:hAnsi="Verdana"/>
          <w:color w:val="000000"/>
          <w:spacing w:val="-1"/>
          <w:sz w:val="20"/>
        </w:rPr>
        <w:t xml:space="preserve">d) "Material Subsidiary" means a subsidiary of the Company which satisfies any of the </w:t>
      </w:r>
      <w:r>
        <w:rPr>
          <w:rFonts w:ascii="Verdana" w:hAnsi="Verdana"/>
          <w:color w:val="000000"/>
          <w:sz w:val="20"/>
        </w:rPr>
        <w:t>following conditions:</w:t>
      </w:r>
    </w:p>
    <w:p w:rsidR="00B22439" w:rsidRDefault="00E74E23" w:rsidP="00E74E23">
      <w:pPr>
        <w:numPr>
          <w:ilvl w:val="0"/>
          <w:numId w:val="2"/>
        </w:numPr>
        <w:tabs>
          <w:tab w:val="clear" w:pos="576"/>
          <w:tab w:val="decimal" w:pos="1512"/>
        </w:tabs>
        <w:spacing w:before="324" w:line="312" w:lineRule="auto"/>
        <w:ind w:left="1512" w:hanging="576"/>
        <w:jc w:val="both"/>
        <w:rPr>
          <w:rFonts w:ascii="Verdana" w:hAnsi="Verdana"/>
          <w:color w:val="000000"/>
          <w:spacing w:val="-6"/>
          <w:sz w:val="20"/>
        </w:rPr>
      </w:pPr>
      <w:r>
        <w:rPr>
          <w:rFonts w:ascii="Verdana" w:hAnsi="Verdana"/>
          <w:color w:val="000000"/>
          <w:spacing w:val="-6"/>
          <w:sz w:val="20"/>
        </w:rPr>
        <w:t xml:space="preserve">Investment in the subsidiary exceeds 2o% of the consolidated net worth of the </w:t>
      </w:r>
      <w:r>
        <w:rPr>
          <w:rFonts w:ascii="Verdana" w:hAnsi="Verdana"/>
          <w:color w:val="000000"/>
          <w:spacing w:val="-3"/>
          <w:sz w:val="20"/>
        </w:rPr>
        <w:t>Company as per the audited balance sheet of the previous financial yea</w:t>
      </w:r>
      <w:r>
        <w:rPr>
          <w:rFonts w:ascii="Verdana" w:hAnsi="Verdana"/>
          <w:color w:val="000000"/>
          <w:spacing w:val="-3"/>
          <w:sz w:val="20"/>
        </w:rPr>
        <w:t>r; or</w:t>
      </w:r>
    </w:p>
    <w:p w:rsidR="00B22439" w:rsidRDefault="00E74E23" w:rsidP="00E74E23">
      <w:pPr>
        <w:numPr>
          <w:ilvl w:val="0"/>
          <w:numId w:val="2"/>
        </w:numPr>
        <w:tabs>
          <w:tab w:val="clear" w:pos="576"/>
          <w:tab w:val="decimal" w:pos="1512"/>
        </w:tabs>
        <w:spacing w:line="312" w:lineRule="auto"/>
        <w:ind w:left="1512" w:hanging="576"/>
        <w:jc w:val="both"/>
        <w:rPr>
          <w:rFonts w:ascii="Verdana" w:hAnsi="Verdana"/>
          <w:color w:val="000000"/>
          <w:spacing w:val="1"/>
          <w:sz w:val="20"/>
        </w:rPr>
      </w:pPr>
      <w:r>
        <w:rPr>
          <w:rFonts w:ascii="Verdana" w:hAnsi="Verdana"/>
          <w:color w:val="000000"/>
          <w:spacing w:val="1"/>
          <w:sz w:val="20"/>
        </w:rPr>
        <w:t xml:space="preserve">The turnover/income or net worth (i.e., paid up and free reserves) of the </w:t>
      </w:r>
      <w:r>
        <w:rPr>
          <w:rFonts w:ascii="Verdana" w:hAnsi="Verdana"/>
          <w:color w:val="000000"/>
          <w:sz w:val="20"/>
        </w:rPr>
        <w:t xml:space="preserve">subsidiary exceeds 2o% of the consolidated turnover/income or net worth </w:t>
      </w:r>
      <w:r>
        <w:rPr>
          <w:rFonts w:ascii="Verdana" w:hAnsi="Verdana"/>
          <w:color w:val="000000"/>
          <w:spacing w:val="-3"/>
          <w:sz w:val="20"/>
        </w:rPr>
        <w:t>respectively of the Company during the previous financial year.</w:t>
      </w:r>
    </w:p>
    <w:p w:rsidR="00B22439" w:rsidRDefault="00E74E23" w:rsidP="00E74E23">
      <w:pPr>
        <w:spacing w:before="288" w:line="314" w:lineRule="auto"/>
        <w:ind w:left="720" w:hanging="360"/>
        <w:jc w:val="both"/>
        <w:rPr>
          <w:rFonts w:ascii="Verdana" w:hAnsi="Verdana"/>
          <w:color w:val="000000"/>
          <w:spacing w:val="6"/>
          <w:sz w:val="20"/>
        </w:rPr>
      </w:pPr>
      <w:r>
        <w:rPr>
          <w:rFonts w:ascii="Verdana" w:hAnsi="Verdana"/>
          <w:color w:val="000000"/>
          <w:spacing w:val="6"/>
          <w:sz w:val="20"/>
        </w:rPr>
        <w:t xml:space="preserve">e) "Significant Transaction or Arrangement" means any individual transaction or </w:t>
      </w:r>
      <w:r>
        <w:rPr>
          <w:rFonts w:ascii="Verdana" w:hAnsi="Verdana"/>
          <w:color w:val="000000"/>
          <w:sz w:val="20"/>
        </w:rPr>
        <w:t xml:space="preserve">arrangement that exceeds or is likely to exceed ten percent of the total revenues or </w:t>
      </w:r>
      <w:r>
        <w:rPr>
          <w:rFonts w:ascii="Verdana" w:hAnsi="Verdana"/>
          <w:color w:val="000000"/>
          <w:spacing w:val="-5"/>
          <w:sz w:val="20"/>
        </w:rPr>
        <w:t>total expenses or total assets or total liabilities, as the case may be of the Material Non</w:t>
      </w:r>
      <w:r>
        <w:rPr>
          <w:rFonts w:ascii="Verdana" w:hAnsi="Verdana"/>
          <w:color w:val="000000"/>
          <w:spacing w:val="-5"/>
          <w:sz w:val="20"/>
        </w:rPr>
        <w:t>-</w:t>
      </w:r>
      <w:r>
        <w:rPr>
          <w:rFonts w:ascii="Verdana" w:hAnsi="Verdana"/>
          <w:color w:val="000000"/>
          <w:spacing w:val="-2"/>
          <w:sz w:val="20"/>
        </w:rPr>
        <w:t>listed Indian Subsidiary for the immediately preceding accounting year;</w:t>
      </w:r>
    </w:p>
    <w:p w:rsidR="00B22439" w:rsidRDefault="00B22439" w:rsidP="00E74E23">
      <w:pPr>
        <w:jc w:val="both"/>
        <w:sectPr w:rsidR="00B22439">
          <w:pgSz w:w="12240" w:h="15840"/>
          <w:pgMar w:top="1600" w:right="1404" w:bottom="595" w:left="1416" w:header="720" w:footer="720" w:gutter="0"/>
          <w:cols w:space="720"/>
        </w:sectPr>
      </w:pPr>
    </w:p>
    <w:p w:rsidR="00B22439" w:rsidRPr="00B56AF4" w:rsidRDefault="00E74E23" w:rsidP="00E74E23">
      <w:pPr>
        <w:numPr>
          <w:ilvl w:val="0"/>
          <w:numId w:val="3"/>
        </w:numPr>
        <w:tabs>
          <w:tab w:val="clear" w:pos="360"/>
          <w:tab w:val="decimal" w:pos="792"/>
        </w:tabs>
        <w:spacing w:line="300" w:lineRule="auto"/>
        <w:ind w:left="792" w:hanging="360"/>
        <w:jc w:val="both"/>
        <w:rPr>
          <w:rFonts w:ascii="Verdana" w:hAnsi="Verdana"/>
          <w:color w:val="000000"/>
          <w:sz w:val="20"/>
        </w:rPr>
      </w:pPr>
      <w:r w:rsidRPr="00B56AF4">
        <w:rPr>
          <w:rFonts w:ascii="Arial" w:hAnsi="Arial"/>
          <w:color w:val="000000"/>
          <w:spacing w:val="-7"/>
        </w:rPr>
        <w:lastRenderedPageBreak/>
        <w:t>"</w:t>
      </w:r>
      <w:r w:rsidRPr="00B56AF4">
        <w:rPr>
          <w:rFonts w:ascii="Verdana" w:hAnsi="Verdana"/>
          <w:color w:val="000000"/>
          <w:sz w:val="20"/>
        </w:rPr>
        <w:t xml:space="preserve">Subsidiary" means a company as defined under Section 2(87) of the Companies Act, </w:t>
      </w:r>
      <w:r w:rsidRPr="00B56AF4">
        <w:rPr>
          <w:rFonts w:ascii="Verdana" w:hAnsi="Verdana"/>
          <w:color w:val="000000"/>
          <w:sz w:val="20"/>
        </w:rPr>
        <w:t>2013 and the Rules there</w:t>
      </w:r>
      <w:r w:rsidR="00A168A5">
        <w:rPr>
          <w:rFonts w:ascii="Verdana" w:hAnsi="Verdana"/>
          <w:color w:val="000000"/>
          <w:sz w:val="20"/>
        </w:rPr>
        <w:t xml:space="preserve"> </w:t>
      </w:r>
      <w:r w:rsidRPr="00B56AF4">
        <w:rPr>
          <w:rFonts w:ascii="Verdana" w:hAnsi="Verdana"/>
          <w:color w:val="000000"/>
          <w:sz w:val="20"/>
        </w:rPr>
        <w:t>under;</w:t>
      </w:r>
    </w:p>
    <w:p w:rsidR="00B22439" w:rsidRPr="00B56AF4" w:rsidRDefault="00E74E23" w:rsidP="00E74E23">
      <w:pPr>
        <w:numPr>
          <w:ilvl w:val="0"/>
          <w:numId w:val="3"/>
        </w:numPr>
        <w:tabs>
          <w:tab w:val="clear" w:pos="360"/>
          <w:tab w:val="decimal" w:pos="792"/>
        </w:tabs>
        <w:spacing w:before="288"/>
        <w:ind w:left="792" w:hanging="360"/>
        <w:jc w:val="both"/>
        <w:rPr>
          <w:rFonts w:ascii="Verdana" w:hAnsi="Verdana"/>
          <w:color w:val="000000"/>
          <w:sz w:val="20"/>
        </w:rPr>
      </w:pPr>
      <w:r w:rsidRPr="00B56AF4">
        <w:rPr>
          <w:rFonts w:ascii="Verdana" w:hAnsi="Verdana"/>
          <w:color w:val="000000"/>
          <w:sz w:val="20"/>
        </w:rPr>
        <w:t>"Policy" means this Policy on Material Subsidiaries.</w:t>
      </w:r>
    </w:p>
    <w:p w:rsidR="00B22439" w:rsidRPr="00B56AF4" w:rsidRDefault="00E74E23" w:rsidP="00E74E23">
      <w:pPr>
        <w:spacing w:before="396" w:line="271" w:lineRule="auto"/>
        <w:jc w:val="both"/>
        <w:rPr>
          <w:rFonts w:ascii="Arial" w:hAnsi="Arial"/>
          <w:color w:val="000000"/>
        </w:rPr>
      </w:pPr>
      <w:r w:rsidRPr="00B56AF4">
        <w:rPr>
          <w:rFonts w:ascii="Arial" w:hAnsi="Arial"/>
          <w:color w:val="000000"/>
        </w:rPr>
        <w:t>4. Policy</w:t>
      </w:r>
    </w:p>
    <w:p w:rsidR="00B22439" w:rsidRPr="00B56AF4" w:rsidRDefault="00E74E23" w:rsidP="00E74E23">
      <w:pPr>
        <w:numPr>
          <w:ilvl w:val="0"/>
          <w:numId w:val="4"/>
        </w:numPr>
        <w:tabs>
          <w:tab w:val="clear" w:pos="720"/>
          <w:tab w:val="decimal" w:pos="1152"/>
          <w:tab w:val="right" w:pos="9349"/>
        </w:tabs>
        <w:spacing w:before="324" w:line="300" w:lineRule="auto"/>
        <w:ind w:left="1152" w:hanging="720"/>
        <w:jc w:val="both"/>
        <w:rPr>
          <w:rFonts w:ascii="Arial" w:hAnsi="Arial"/>
          <w:color w:val="000000"/>
          <w:spacing w:val="-5"/>
        </w:rPr>
      </w:pPr>
      <w:r w:rsidRPr="00B56AF4">
        <w:rPr>
          <w:rFonts w:ascii="Arial" w:hAnsi="Arial"/>
          <w:color w:val="000000"/>
          <w:spacing w:val="-5"/>
        </w:rPr>
        <w:t xml:space="preserve">At least one Independent Director on the Board of the Company shall be a director </w:t>
      </w:r>
      <w:r w:rsidRPr="00B56AF4">
        <w:rPr>
          <w:rFonts w:ascii="Arial" w:hAnsi="Arial"/>
          <w:color w:val="000000"/>
          <w:spacing w:val="-5"/>
        </w:rPr>
        <w:br/>
        <w:t>on the board of directors of a Material Non-listed Indian Subsidiary.</w:t>
      </w:r>
    </w:p>
    <w:p w:rsidR="00B22439" w:rsidRPr="00B56AF4" w:rsidRDefault="00E74E23" w:rsidP="00E74E23">
      <w:pPr>
        <w:numPr>
          <w:ilvl w:val="0"/>
          <w:numId w:val="4"/>
        </w:numPr>
        <w:tabs>
          <w:tab w:val="clear" w:pos="720"/>
          <w:tab w:val="decimal" w:pos="1152"/>
          <w:tab w:val="right" w:pos="9349"/>
        </w:tabs>
        <w:spacing w:line="302" w:lineRule="auto"/>
        <w:ind w:left="1152" w:hanging="720"/>
        <w:jc w:val="both"/>
        <w:rPr>
          <w:rFonts w:ascii="Arial" w:hAnsi="Arial"/>
          <w:color w:val="000000"/>
          <w:spacing w:val="5"/>
        </w:rPr>
      </w:pPr>
      <w:r w:rsidRPr="00B56AF4">
        <w:rPr>
          <w:rFonts w:ascii="Arial" w:hAnsi="Arial"/>
          <w:color w:val="000000"/>
          <w:spacing w:val="5"/>
        </w:rPr>
        <w:t xml:space="preserve">Audit Committee of the Company shall review the financial statements, in </w:t>
      </w:r>
      <w:r w:rsidRPr="00B56AF4">
        <w:rPr>
          <w:rFonts w:ascii="Arial" w:hAnsi="Arial"/>
          <w:color w:val="000000"/>
          <w:spacing w:val="5"/>
        </w:rPr>
        <w:br/>
      </w:r>
      <w:r w:rsidRPr="00B56AF4">
        <w:rPr>
          <w:rFonts w:ascii="Arial" w:hAnsi="Arial"/>
          <w:color w:val="000000"/>
          <w:spacing w:val="-6"/>
        </w:rPr>
        <w:t>particular, the investments made by the unlisted Subsidiary company.</w:t>
      </w:r>
    </w:p>
    <w:p w:rsidR="00B22439" w:rsidRPr="00B56AF4" w:rsidRDefault="00E74E23" w:rsidP="00E74E23">
      <w:pPr>
        <w:numPr>
          <w:ilvl w:val="0"/>
          <w:numId w:val="4"/>
        </w:numPr>
        <w:tabs>
          <w:tab w:val="clear" w:pos="720"/>
          <w:tab w:val="decimal" w:pos="1152"/>
          <w:tab w:val="right" w:pos="9349"/>
        </w:tabs>
        <w:spacing w:line="300" w:lineRule="auto"/>
        <w:ind w:left="1152" w:hanging="720"/>
        <w:jc w:val="both"/>
        <w:rPr>
          <w:rFonts w:ascii="Arial" w:hAnsi="Arial"/>
          <w:color w:val="000000"/>
          <w:spacing w:val="-2"/>
        </w:rPr>
      </w:pPr>
      <w:r w:rsidRPr="00B56AF4">
        <w:rPr>
          <w:rFonts w:ascii="Arial" w:hAnsi="Arial"/>
          <w:color w:val="000000"/>
          <w:spacing w:val="-2"/>
        </w:rPr>
        <w:t xml:space="preserve">The Minutes of the board meetings of the unlisted Subsidiary company shall be </w:t>
      </w:r>
      <w:r w:rsidRPr="00B56AF4">
        <w:rPr>
          <w:rFonts w:ascii="Arial" w:hAnsi="Arial"/>
          <w:color w:val="000000"/>
          <w:spacing w:val="-2"/>
        </w:rPr>
        <w:br/>
      </w:r>
      <w:r w:rsidRPr="00B56AF4">
        <w:rPr>
          <w:rFonts w:ascii="Arial" w:hAnsi="Arial"/>
          <w:color w:val="000000"/>
          <w:spacing w:val="-5"/>
        </w:rPr>
        <w:t>placed at the Board meeting of the Company.</w:t>
      </w:r>
    </w:p>
    <w:p w:rsidR="00B22439" w:rsidRPr="00B56AF4" w:rsidRDefault="00E74E23" w:rsidP="00E74E23">
      <w:pPr>
        <w:numPr>
          <w:ilvl w:val="0"/>
          <w:numId w:val="4"/>
        </w:numPr>
        <w:tabs>
          <w:tab w:val="clear" w:pos="720"/>
          <w:tab w:val="decimal" w:pos="1152"/>
          <w:tab w:val="right" w:pos="9349"/>
        </w:tabs>
        <w:spacing w:line="300" w:lineRule="auto"/>
        <w:ind w:left="1152" w:hanging="720"/>
        <w:jc w:val="both"/>
        <w:rPr>
          <w:rFonts w:ascii="Arial" w:hAnsi="Arial"/>
          <w:color w:val="000000"/>
          <w:spacing w:val="-6"/>
        </w:rPr>
      </w:pPr>
      <w:r w:rsidRPr="00B56AF4">
        <w:rPr>
          <w:rFonts w:ascii="Arial" w:hAnsi="Arial"/>
          <w:color w:val="000000"/>
          <w:spacing w:val="-6"/>
        </w:rPr>
        <w:t xml:space="preserve">The management of the Company shall on an annual basis bring to the attention of </w:t>
      </w:r>
      <w:r w:rsidRPr="00B56AF4">
        <w:rPr>
          <w:rFonts w:ascii="Arial" w:hAnsi="Arial"/>
          <w:color w:val="000000"/>
          <w:spacing w:val="-6"/>
        </w:rPr>
        <w:br/>
      </w:r>
      <w:r w:rsidRPr="00B56AF4">
        <w:rPr>
          <w:rFonts w:ascii="Arial" w:hAnsi="Arial"/>
          <w:color w:val="000000"/>
          <w:spacing w:val="-2"/>
        </w:rPr>
        <w:t xml:space="preserve">the Board, a statement of all Significant Transaction/s and/or Arrangement/s </w:t>
      </w:r>
      <w:r w:rsidRPr="00B56AF4">
        <w:rPr>
          <w:rFonts w:ascii="Arial" w:hAnsi="Arial"/>
          <w:color w:val="000000"/>
          <w:spacing w:val="-6"/>
        </w:rPr>
        <w:t>entered into by the unlisted Subsidiary company.</w:t>
      </w:r>
    </w:p>
    <w:p w:rsidR="00B22439" w:rsidRPr="00B56AF4" w:rsidRDefault="00E74E23" w:rsidP="00E74E23">
      <w:pPr>
        <w:numPr>
          <w:ilvl w:val="0"/>
          <w:numId w:val="4"/>
        </w:numPr>
        <w:tabs>
          <w:tab w:val="clear" w:pos="720"/>
          <w:tab w:val="decimal" w:pos="1152"/>
          <w:tab w:val="right" w:pos="9349"/>
        </w:tabs>
        <w:spacing w:before="36" w:line="300" w:lineRule="auto"/>
        <w:ind w:left="1152" w:hanging="720"/>
        <w:jc w:val="both"/>
        <w:rPr>
          <w:rFonts w:ascii="Arial" w:hAnsi="Arial"/>
          <w:color w:val="000000"/>
          <w:spacing w:val="-1"/>
        </w:rPr>
      </w:pPr>
      <w:r w:rsidRPr="00B56AF4">
        <w:rPr>
          <w:rFonts w:ascii="Arial" w:hAnsi="Arial"/>
          <w:color w:val="000000"/>
          <w:spacing w:val="-1"/>
        </w:rPr>
        <w:t>The management of the Company shall on an annual</w:t>
      </w:r>
      <w:r w:rsidRPr="00B56AF4">
        <w:rPr>
          <w:rFonts w:ascii="Arial" w:hAnsi="Arial"/>
          <w:color w:val="000000"/>
          <w:spacing w:val="-1"/>
        </w:rPr>
        <w:t xml:space="preserve"> basis present to the Audit </w:t>
      </w:r>
      <w:r w:rsidRPr="00B56AF4">
        <w:rPr>
          <w:rFonts w:ascii="Arial" w:hAnsi="Arial"/>
          <w:color w:val="000000"/>
          <w:spacing w:val="-1"/>
        </w:rPr>
        <w:br/>
      </w:r>
      <w:r w:rsidRPr="00B56AF4">
        <w:rPr>
          <w:rFonts w:ascii="Arial" w:hAnsi="Arial"/>
          <w:color w:val="000000"/>
          <w:spacing w:val="-8"/>
        </w:rPr>
        <w:t xml:space="preserve">Committee the list of unlisted subsidiaries along with details of the materiality. The </w:t>
      </w:r>
      <w:r w:rsidRPr="00B56AF4">
        <w:rPr>
          <w:rFonts w:ascii="Arial" w:hAnsi="Arial"/>
          <w:color w:val="000000"/>
          <w:spacing w:val="-2"/>
        </w:rPr>
        <w:t xml:space="preserve">Audit Committee shall review the same and make suitable recommendations to </w:t>
      </w:r>
      <w:r w:rsidRPr="00B56AF4">
        <w:rPr>
          <w:rFonts w:ascii="Arial" w:hAnsi="Arial"/>
          <w:color w:val="000000"/>
        </w:rPr>
        <w:t>the Board.</w:t>
      </w:r>
    </w:p>
    <w:p w:rsidR="00B22439" w:rsidRPr="00B56AF4" w:rsidRDefault="00E74E23" w:rsidP="00E74E23">
      <w:pPr>
        <w:numPr>
          <w:ilvl w:val="0"/>
          <w:numId w:val="4"/>
        </w:numPr>
        <w:tabs>
          <w:tab w:val="clear" w:pos="720"/>
          <w:tab w:val="decimal" w:pos="1152"/>
          <w:tab w:val="right" w:pos="9349"/>
        </w:tabs>
        <w:spacing w:before="72" w:line="300" w:lineRule="auto"/>
        <w:ind w:left="1152" w:hanging="720"/>
        <w:jc w:val="both"/>
        <w:rPr>
          <w:rFonts w:ascii="Arial" w:hAnsi="Arial"/>
          <w:color w:val="000000"/>
        </w:rPr>
      </w:pPr>
      <w:r w:rsidRPr="00B56AF4">
        <w:rPr>
          <w:rFonts w:ascii="Arial" w:hAnsi="Arial"/>
          <w:color w:val="000000"/>
        </w:rPr>
        <w:t xml:space="preserve">Without the prior approval of the shareholders of the </w:t>
      </w:r>
      <w:r w:rsidRPr="00B56AF4">
        <w:rPr>
          <w:rFonts w:ascii="Arial" w:hAnsi="Arial"/>
          <w:color w:val="000000"/>
        </w:rPr>
        <w:t xml:space="preserve">Company by means of a </w:t>
      </w:r>
      <w:r w:rsidRPr="00B56AF4">
        <w:rPr>
          <w:rFonts w:ascii="Arial" w:hAnsi="Arial"/>
          <w:color w:val="000000"/>
        </w:rPr>
        <w:br/>
      </w:r>
      <w:r w:rsidRPr="00B56AF4">
        <w:rPr>
          <w:rFonts w:ascii="Arial" w:hAnsi="Arial"/>
          <w:color w:val="000000"/>
          <w:spacing w:val="-7"/>
        </w:rPr>
        <w:t>special resolution, the Company shall not:</w:t>
      </w:r>
    </w:p>
    <w:p w:rsidR="00B22439" w:rsidRPr="00B56AF4" w:rsidRDefault="00E74E23" w:rsidP="00E74E23">
      <w:pPr>
        <w:numPr>
          <w:ilvl w:val="0"/>
          <w:numId w:val="5"/>
        </w:numPr>
        <w:tabs>
          <w:tab w:val="clear" w:pos="504"/>
          <w:tab w:val="decimal" w:pos="2016"/>
          <w:tab w:val="right" w:pos="9349"/>
        </w:tabs>
        <w:spacing w:before="252" w:line="300" w:lineRule="auto"/>
        <w:ind w:left="2016" w:hanging="504"/>
        <w:jc w:val="both"/>
        <w:rPr>
          <w:rFonts w:ascii="Arial" w:hAnsi="Arial"/>
          <w:color w:val="000000"/>
          <w:spacing w:val="3"/>
        </w:rPr>
      </w:pPr>
      <w:r w:rsidRPr="00B56AF4">
        <w:rPr>
          <w:rFonts w:ascii="Arial" w:hAnsi="Arial"/>
          <w:color w:val="000000"/>
          <w:spacing w:val="3"/>
        </w:rPr>
        <w:t xml:space="preserve">dispose of shares in its Material Subsidiary which would reduce its </w:t>
      </w:r>
      <w:r w:rsidRPr="00B56AF4">
        <w:rPr>
          <w:rFonts w:ascii="Arial" w:hAnsi="Arial"/>
          <w:color w:val="000000"/>
          <w:spacing w:val="3"/>
        </w:rPr>
        <w:br/>
      </w:r>
      <w:r w:rsidRPr="00B56AF4">
        <w:rPr>
          <w:rFonts w:ascii="Arial" w:hAnsi="Arial"/>
          <w:color w:val="000000"/>
          <w:spacing w:val="-8"/>
        </w:rPr>
        <w:t xml:space="preserve">shareholding (either on its own or together with other subsidiaries) to less </w:t>
      </w:r>
      <w:r w:rsidRPr="00B56AF4">
        <w:rPr>
          <w:rFonts w:ascii="Arial" w:hAnsi="Arial"/>
          <w:color w:val="000000"/>
          <w:spacing w:val="-10"/>
        </w:rPr>
        <w:t xml:space="preserve">than fifty percent, except in cases where such divestment is made under a </w:t>
      </w:r>
      <w:r w:rsidRPr="00B56AF4">
        <w:rPr>
          <w:rFonts w:ascii="Arial" w:hAnsi="Arial"/>
          <w:color w:val="000000"/>
          <w:spacing w:val="-6"/>
        </w:rPr>
        <w:t>scheme of arrangement duly approved by a court or tribunal;</w:t>
      </w:r>
    </w:p>
    <w:p w:rsidR="00B22439" w:rsidRPr="00B56AF4" w:rsidRDefault="00E74E23" w:rsidP="00E74E23">
      <w:pPr>
        <w:numPr>
          <w:ilvl w:val="0"/>
          <w:numId w:val="5"/>
        </w:numPr>
        <w:tabs>
          <w:tab w:val="clear" w:pos="504"/>
          <w:tab w:val="decimal" w:pos="2016"/>
        </w:tabs>
        <w:spacing w:line="268" w:lineRule="auto"/>
        <w:ind w:left="2016" w:hanging="504"/>
        <w:jc w:val="both"/>
        <w:rPr>
          <w:rFonts w:ascii="Arial" w:hAnsi="Arial"/>
          <w:color w:val="000000"/>
          <w:spacing w:val="2"/>
        </w:rPr>
      </w:pPr>
      <w:r w:rsidRPr="00B56AF4">
        <w:rPr>
          <w:rFonts w:ascii="Arial" w:hAnsi="Arial"/>
          <w:color w:val="000000"/>
          <w:spacing w:val="2"/>
        </w:rPr>
        <w:t>cease to exercise control over the Material Subsidiary; &amp;</w:t>
      </w:r>
    </w:p>
    <w:p w:rsidR="00B22439" w:rsidRPr="00B56AF4" w:rsidRDefault="00E74E23" w:rsidP="00E74E23">
      <w:pPr>
        <w:numPr>
          <w:ilvl w:val="0"/>
          <w:numId w:val="5"/>
        </w:numPr>
        <w:tabs>
          <w:tab w:val="clear" w:pos="504"/>
          <w:tab w:val="decimal" w:pos="2016"/>
          <w:tab w:val="right" w:pos="9349"/>
        </w:tabs>
        <w:spacing w:before="36" w:line="300" w:lineRule="auto"/>
        <w:ind w:left="2016" w:hanging="504"/>
        <w:jc w:val="both"/>
        <w:rPr>
          <w:rFonts w:ascii="Arial" w:hAnsi="Arial"/>
          <w:color w:val="000000"/>
          <w:spacing w:val="-2"/>
        </w:rPr>
      </w:pPr>
      <w:r w:rsidRPr="00B56AF4">
        <w:rPr>
          <w:rFonts w:ascii="Arial" w:hAnsi="Arial"/>
          <w:color w:val="000000"/>
          <w:spacing w:val="-2"/>
        </w:rPr>
        <w:t xml:space="preserve">sell/dispose/lease assets amounting to more than twenty percent of the </w:t>
      </w:r>
      <w:r w:rsidRPr="00B56AF4">
        <w:rPr>
          <w:rFonts w:ascii="Arial" w:hAnsi="Arial"/>
          <w:color w:val="000000"/>
          <w:spacing w:val="-2"/>
        </w:rPr>
        <w:br/>
      </w:r>
      <w:r w:rsidRPr="00B56AF4">
        <w:rPr>
          <w:rFonts w:ascii="Arial" w:hAnsi="Arial"/>
          <w:color w:val="000000"/>
          <w:spacing w:val="-7"/>
        </w:rPr>
        <w:t xml:space="preserve">assets of the Material Subsidiary on an aggregate basis during a financial </w:t>
      </w:r>
      <w:r w:rsidRPr="00B56AF4">
        <w:rPr>
          <w:rFonts w:ascii="Arial" w:hAnsi="Arial"/>
          <w:color w:val="000000"/>
          <w:spacing w:val="6"/>
        </w:rPr>
        <w:t xml:space="preserve">year, unless the sale/disposal/lease is made under a scheme </w:t>
      </w:r>
      <w:proofErr w:type="spellStart"/>
      <w:r w:rsidRPr="00B56AF4">
        <w:rPr>
          <w:rFonts w:ascii="Arial" w:hAnsi="Arial"/>
          <w:color w:val="000000"/>
          <w:spacing w:val="6"/>
        </w:rPr>
        <w:t>or</w:t>
      </w:r>
      <w:proofErr w:type="spellEnd"/>
      <w:r w:rsidRPr="00B56AF4">
        <w:rPr>
          <w:rFonts w:ascii="Arial" w:hAnsi="Arial"/>
          <w:color w:val="000000"/>
          <w:spacing w:val="6"/>
        </w:rPr>
        <w:t xml:space="preserve"> </w:t>
      </w:r>
      <w:r w:rsidRPr="00B56AF4">
        <w:rPr>
          <w:rFonts w:ascii="Arial" w:hAnsi="Arial"/>
          <w:color w:val="000000"/>
          <w:spacing w:val="-6"/>
        </w:rPr>
        <w:t>arrangement duly approved by a court or tribun</w:t>
      </w:r>
      <w:r w:rsidRPr="00B56AF4">
        <w:rPr>
          <w:rFonts w:ascii="Arial" w:hAnsi="Arial"/>
          <w:color w:val="000000"/>
          <w:spacing w:val="-6"/>
        </w:rPr>
        <w:t>al.</w:t>
      </w:r>
    </w:p>
    <w:p w:rsidR="00B22439" w:rsidRPr="00B56AF4" w:rsidRDefault="00E74E23" w:rsidP="00E74E23">
      <w:pPr>
        <w:spacing w:before="324" w:line="211" w:lineRule="auto"/>
        <w:jc w:val="both"/>
        <w:rPr>
          <w:rFonts w:ascii="Arial" w:hAnsi="Arial"/>
          <w:color w:val="000000"/>
        </w:rPr>
      </w:pPr>
      <w:r w:rsidRPr="00B56AF4">
        <w:rPr>
          <w:rFonts w:ascii="Arial" w:hAnsi="Arial"/>
          <w:color w:val="000000"/>
        </w:rPr>
        <w:t>5. Disclosure</w:t>
      </w:r>
    </w:p>
    <w:p w:rsidR="00B22439" w:rsidRPr="00B56AF4" w:rsidRDefault="00E74E23" w:rsidP="00E74E23">
      <w:pPr>
        <w:spacing w:before="396" w:line="273" w:lineRule="auto"/>
        <w:ind w:left="360"/>
        <w:jc w:val="both"/>
        <w:rPr>
          <w:rFonts w:ascii="Arial" w:hAnsi="Arial"/>
          <w:color w:val="000000"/>
          <w:spacing w:val="-3"/>
        </w:rPr>
      </w:pPr>
      <w:r w:rsidRPr="00B56AF4">
        <w:rPr>
          <w:rFonts w:ascii="Arial" w:hAnsi="Arial"/>
          <w:color w:val="000000"/>
          <w:spacing w:val="-3"/>
        </w:rPr>
        <w:t xml:space="preserve">This Policy shall be disclosed on the website of the Company and a web link thereto </w:t>
      </w:r>
      <w:r w:rsidRPr="00B56AF4">
        <w:rPr>
          <w:rFonts w:ascii="Arial" w:hAnsi="Arial"/>
          <w:color w:val="000000"/>
          <w:spacing w:val="-6"/>
        </w:rPr>
        <w:t>provided in the Annual Report of the Company.</w:t>
      </w:r>
    </w:p>
    <w:p w:rsidR="00B22439" w:rsidRDefault="00763488" w:rsidP="00E74E23">
      <w:pPr>
        <w:spacing w:before="288" w:line="129" w:lineRule="exact"/>
        <w:ind w:left="4752"/>
        <w:jc w:val="both"/>
        <w:rPr>
          <w:rFonts w:ascii="Tahoma" w:hAnsi="Tahoma"/>
          <w:color w:val="000000"/>
          <w:w w:val="95"/>
          <w:sz w:val="20"/>
        </w:rPr>
      </w:pPr>
      <w:r w:rsidRPr="00B56AF4">
        <w:pict>
          <v:shape id="_x0000_s1026" type="#_x0000_t202" style="position:absolute;left:0;text-align:left;margin-left:0;margin-top:105.3pt;width:468pt;height:18pt;z-index:-251658240;mso-wrap-distance-left:0;mso-wrap-distance-right:0" filled="f" stroked="f">
            <v:textbox inset="0,0,0,0">
              <w:txbxContent>
                <w:p w:rsidR="00B22439" w:rsidRDefault="00E74E23">
                  <w:pPr>
                    <w:spacing w:line="201" w:lineRule="auto"/>
                    <w:jc w:val="center"/>
                    <w:rPr>
                      <w:rFonts w:ascii="Arial" w:hAnsi="Arial"/>
                      <w:b/>
                      <w:color w:val="000000"/>
                      <w:sz w:val="18"/>
                    </w:rPr>
                  </w:pPr>
                  <w:r>
                    <w:rPr>
                      <w:rFonts w:ascii="Arial" w:hAnsi="Arial"/>
                      <w:b/>
                      <w:color w:val="000000"/>
                      <w:sz w:val="18"/>
                    </w:rPr>
                    <w:t>2</w:t>
                  </w:r>
                </w:p>
              </w:txbxContent>
            </v:textbox>
            <w10:wrap type="square"/>
          </v:shape>
        </w:pict>
      </w:r>
      <w:r w:rsidR="00E74E23">
        <w:rPr>
          <w:rFonts w:ascii="Tahoma" w:hAnsi="Tahoma"/>
          <w:color w:val="000000"/>
          <w:w w:val="95"/>
          <w:sz w:val="20"/>
        </w:rPr>
        <w:t>* * *</w:t>
      </w:r>
    </w:p>
    <w:sectPr w:rsidR="00B22439" w:rsidSect="00B22439">
      <w:pgSz w:w="12240" w:h="15840"/>
      <w:pgMar w:top="1300" w:right="1404" w:bottom="597" w:left="1416" w:header="720" w:footer="720" w:gutter="0"/>
      <w:cols w:space="72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ahoma">
    <w:charset w:val="00"/>
    <w:pitch w:val="variable"/>
    <w:family w:val="swiss"/>
    <w:panose1 w:val="02020603050405020304"/>
  </w:font>
  <w:font w:name="Verdana">
    <w:charset w:val="00"/>
    <w:pitch w:val="variable"/>
    <w:family w:val="swiss"/>
    <w:panose1 w:val="02020603050405020304"/>
  </w:font>
  <w:font w:name="Arial">
    <w:charset w:val="00"/>
    <w:pitch w:val="variable"/>
    <w:family w:val="swiss"/>
    <w:panose1 w:val="02020603050405020304"/>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541AB"/>
    <w:multiLevelType w:val="multilevel"/>
    <w:tmpl w:val="E2FA54BA"/>
    <w:lvl w:ilvl="0">
      <w:start w:val="1"/>
      <w:numFmt w:val="decimal"/>
      <w:lvlText w:val="%1."/>
      <w:lvlJc w:val="left"/>
      <w:pPr>
        <w:tabs>
          <w:tab w:val="decimal" w:pos="360"/>
        </w:tabs>
        <w:ind w:left="720"/>
      </w:pPr>
      <w:rPr>
        <w:rFonts w:ascii="Tahoma" w:hAnsi="Tahoma"/>
        <w:b/>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567E22"/>
    <w:multiLevelType w:val="multilevel"/>
    <w:tmpl w:val="BCC44B48"/>
    <w:lvl w:ilvl="0">
      <w:start w:val="6"/>
      <w:numFmt w:val="lowerLetter"/>
      <w:lvlText w:val="%1)"/>
      <w:lvlJc w:val="left"/>
      <w:pPr>
        <w:tabs>
          <w:tab w:val="decimal" w:pos="360"/>
        </w:tabs>
        <w:ind w:left="720"/>
      </w:pPr>
      <w:rPr>
        <w:rFonts w:ascii="Arial" w:hAnsi="Arial"/>
        <w:b w:val="0"/>
        <w:strike w:val="0"/>
        <w:color w:val="000000"/>
        <w:spacing w:val="-7"/>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0381CDD"/>
    <w:multiLevelType w:val="multilevel"/>
    <w:tmpl w:val="E20A377C"/>
    <w:lvl w:ilvl="0">
      <w:start w:val="1"/>
      <w:numFmt w:val="decimal"/>
      <w:lvlText w:val="%1)"/>
      <w:lvlJc w:val="left"/>
      <w:pPr>
        <w:tabs>
          <w:tab w:val="decimal" w:pos="504"/>
        </w:tabs>
        <w:ind w:left="720"/>
      </w:pPr>
      <w:rPr>
        <w:rFonts w:ascii="Arial" w:hAnsi="Arial"/>
        <w:b w:val="0"/>
        <w:strike w:val="0"/>
        <w:color w:val="000000"/>
        <w:spacing w:val="3"/>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52B7642"/>
    <w:multiLevelType w:val="multilevel"/>
    <w:tmpl w:val="74C4F558"/>
    <w:lvl w:ilvl="0">
      <w:start w:val="1"/>
      <w:numFmt w:val="lowerLetter"/>
      <w:lvlText w:val="(%1)"/>
      <w:lvlJc w:val="left"/>
      <w:pPr>
        <w:tabs>
          <w:tab w:val="decimal" w:pos="720"/>
        </w:tabs>
        <w:ind w:left="720"/>
      </w:pPr>
      <w:rPr>
        <w:rFonts w:ascii="Arial" w:hAnsi="Arial"/>
        <w:b w:val="0"/>
        <w:strike w:val="0"/>
        <w:color w:val="000000"/>
        <w:spacing w:val="-5"/>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0720F43"/>
    <w:multiLevelType w:val="multilevel"/>
    <w:tmpl w:val="5D96CA9A"/>
    <w:lvl w:ilvl="0">
      <w:start w:val="1"/>
      <w:numFmt w:val="lowerRoman"/>
      <w:lvlText w:val="%1."/>
      <w:lvlJc w:val="left"/>
      <w:pPr>
        <w:tabs>
          <w:tab w:val="decimal" w:pos="576"/>
        </w:tabs>
        <w:ind w:left="720"/>
      </w:pPr>
      <w:rPr>
        <w:rFonts w:ascii="Verdana" w:hAnsi="Verdana"/>
        <w:strike w:val="0"/>
        <w:color w:val="000000"/>
        <w:spacing w:val="-6"/>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B22439"/>
    <w:rsid w:val="000E46CE"/>
    <w:rsid w:val="003250EA"/>
    <w:rsid w:val="004F1CA7"/>
    <w:rsid w:val="00660562"/>
    <w:rsid w:val="006D60E6"/>
    <w:rsid w:val="00763488"/>
    <w:rsid w:val="008D53ED"/>
    <w:rsid w:val="00A168A5"/>
    <w:rsid w:val="00A8541F"/>
    <w:rsid w:val="00B22439"/>
    <w:rsid w:val="00B56AF4"/>
    <w:rsid w:val="00D42F62"/>
    <w:rsid w:val="00DF11B6"/>
    <w:rsid w:val="00E74E23"/>
    <w:rsid w:val="00F139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drId2" Type="http://schemas.openxmlformats.org/wordprocessingml/2006/fontTable" Target="fontTable1.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545</Words>
  <Characters>3112</Characters>
  <Application>Microsoft Office Word</Application>
  <DocSecurity>0</DocSecurity>
  <Lines>25</Lines>
  <Paragraphs>7</Paragraphs>
  <ScaleCrop>false</ScaleCrop>
  <Company/>
  <LinksUpToDate>false</LinksUpToDate>
  <CharactersWithSpaces>3650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16</cp:revision>
  <dcterms:created xsi:type="dcterms:W3CDTF">2015-09-01T11:42:00Z</dcterms:created>
  <dcterms:modified xsi:type="dcterms:W3CDTF">2015-09-01T11:46:00Z</dcterms:modified>
</cp:coreProperties>
</file>