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13" w:rsidRPr="001A1E13" w:rsidRDefault="005D7514" w:rsidP="001A1E13">
      <w:pPr>
        <w:jc w:val="center"/>
        <w:rPr>
          <w:rFonts w:ascii="Times New Roman" w:hAnsi="Times New Roman"/>
          <w:b/>
          <w:sz w:val="24"/>
          <w:szCs w:val="24"/>
          <w:u w:val="single"/>
        </w:rPr>
      </w:pPr>
      <w:r>
        <w:rPr>
          <w:rFonts w:ascii="Times New Roman" w:hAnsi="Times New Roman"/>
          <w:b/>
          <w:sz w:val="24"/>
          <w:szCs w:val="24"/>
          <w:u w:val="single"/>
        </w:rPr>
        <w:t>Premier Energy and Infrastructure</w:t>
      </w:r>
      <w:r w:rsidR="005E646E">
        <w:rPr>
          <w:rFonts w:ascii="Times New Roman" w:hAnsi="Times New Roman"/>
          <w:b/>
          <w:sz w:val="24"/>
          <w:szCs w:val="24"/>
          <w:u w:val="single"/>
        </w:rPr>
        <w:t xml:space="preserve"> Limited</w:t>
      </w:r>
    </w:p>
    <w:p w:rsidR="00FD55FD" w:rsidRPr="00912205" w:rsidRDefault="00FD55FD" w:rsidP="00805B66">
      <w:pPr>
        <w:jc w:val="center"/>
        <w:outlineLvl w:val="0"/>
        <w:rPr>
          <w:rFonts w:ascii="Times New Roman" w:hAnsi="Times New Roman"/>
          <w:b/>
          <w:sz w:val="24"/>
          <w:szCs w:val="24"/>
          <w:u w:val="single"/>
        </w:rPr>
      </w:pPr>
      <w:r w:rsidRPr="00912205">
        <w:rPr>
          <w:rFonts w:ascii="Times New Roman" w:hAnsi="Times New Roman"/>
          <w:b/>
          <w:sz w:val="24"/>
          <w:szCs w:val="24"/>
          <w:u w:val="single"/>
        </w:rPr>
        <w:t xml:space="preserve">POLICY ON RELATED PARTY TRANSACTIONS </w:t>
      </w:r>
    </w:p>
    <w:p w:rsidR="00FD55FD" w:rsidRPr="00912205" w:rsidRDefault="00FD55FD" w:rsidP="008A7AD4">
      <w:pPr>
        <w:jc w:val="both"/>
        <w:rPr>
          <w:b/>
          <w:sz w:val="24"/>
          <w:szCs w:val="24"/>
        </w:rPr>
      </w:pPr>
    </w:p>
    <w:p w:rsidR="00FD55FD" w:rsidRPr="00912205" w:rsidRDefault="00FD55FD" w:rsidP="00805B66">
      <w:pPr>
        <w:jc w:val="both"/>
        <w:outlineLvl w:val="0"/>
        <w:rPr>
          <w:rFonts w:ascii="Times New Roman" w:hAnsi="Times New Roman"/>
          <w:sz w:val="24"/>
          <w:szCs w:val="24"/>
        </w:rPr>
      </w:pPr>
      <w:r w:rsidRPr="00912205">
        <w:rPr>
          <w:rFonts w:ascii="Times New Roman" w:hAnsi="Times New Roman"/>
          <w:b/>
          <w:sz w:val="24"/>
          <w:szCs w:val="24"/>
        </w:rPr>
        <w:t xml:space="preserve">1. </w:t>
      </w:r>
      <w:r w:rsidRPr="00912205">
        <w:rPr>
          <w:rFonts w:ascii="Times New Roman" w:hAnsi="Times New Roman"/>
          <w:b/>
          <w:sz w:val="24"/>
          <w:szCs w:val="24"/>
        </w:rPr>
        <w:tab/>
        <w:t>Preamble</w:t>
      </w:r>
    </w:p>
    <w:p w:rsidR="00FD55FD" w:rsidRPr="00912205" w:rsidRDefault="00FD55FD" w:rsidP="008A7AD4">
      <w:pPr>
        <w:ind w:left="720"/>
        <w:jc w:val="both"/>
        <w:rPr>
          <w:rFonts w:ascii="Times New Roman" w:hAnsi="Times New Roman"/>
          <w:sz w:val="24"/>
          <w:szCs w:val="24"/>
        </w:rPr>
      </w:pPr>
    </w:p>
    <w:p w:rsidR="00011054" w:rsidRPr="00912205" w:rsidRDefault="005962F8" w:rsidP="008A7AD4">
      <w:pPr>
        <w:ind w:left="720"/>
        <w:jc w:val="both"/>
        <w:rPr>
          <w:rFonts w:ascii="Times New Roman" w:hAnsi="Times New Roman"/>
          <w:sz w:val="24"/>
          <w:szCs w:val="24"/>
        </w:rPr>
      </w:pPr>
      <w:r w:rsidRPr="005962F8">
        <w:rPr>
          <w:rFonts w:ascii="Times New Roman" w:hAnsi="Times New Roman"/>
          <w:sz w:val="24"/>
          <w:szCs w:val="24"/>
        </w:rPr>
        <w:t xml:space="preserve">Premier Energy and Infrastructure </w:t>
      </w:r>
      <w:r w:rsidR="005E646E">
        <w:rPr>
          <w:rFonts w:ascii="Times New Roman" w:hAnsi="Times New Roman"/>
          <w:sz w:val="24"/>
          <w:szCs w:val="24"/>
        </w:rPr>
        <w:t xml:space="preserve">Limited </w:t>
      </w:r>
      <w:r w:rsidR="00FD55FD" w:rsidRPr="00912205">
        <w:rPr>
          <w:rFonts w:ascii="Times New Roman" w:hAnsi="Times New Roman"/>
          <w:sz w:val="24"/>
          <w:szCs w:val="24"/>
        </w:rPr>
        <w:t xml:space="preserve">(“Company”) </w:t>
      </w:r>
      <w:r w:rsidR="00011054" w:rsidRPr="00912205">
        <w:rPr>
          <w:rFonts w:ascii="Times New Roman" w:hAnsi="Times New Roman"/>
          <w:sz w:val="24"/>
          <w:szCs w:val="24"/>
        </w:rPr>
        <w:t>recognizes</w:t>
      </w:r>
      <w:r w:rsidR="00FD55FD" w:rsidRPr="00912205">
        <w:rPr>
          <w:rFonts w:ascii="Times New Roman" w:hAnsi="Times New Roman"/>
          <w:sz w:val="24"/>
          <w:szCs w:val="24"/>
        </w:rPr>
        <w:t xml:space="preserve"> that Related Party Transactions (as defined below) can present potential or actual conflicts of interest and may raise questions about whether such transactions are consistent with the Company’s interests. </w:t>
      </w:r>
      <w:r w:rsidR="0013196B">
        <w:rPr>
          <w:rFonts w:ascii="Times New Roman" w:hAnsi="Times New Roman"/>
          <w:sz w:val="24"/>
          <w:szCs w:val="24"/>
        </w:rPr>
        <w:t>T</w:t>
      </w:r>
      <w:r w:rsidR="00FD55FD" w:rsidRPr="00912205">
        <w:rPr>
          <w:rFonts w:ascii="Times New Roman" w:hAnsi="Times New Roman"/>
          <w:sz w:val="24"/>
          <w:szCs w:val="24"/>
        </w:rPr>
        <w:t xml:space="preserve">his Policy </w:t>
      </w:r>
      <w:r w:rsidR="0013196B">
        <w:rPr>
          <w:rFonts w:ascii="Times New Roman" w:hAnsi="Times New Roman"/>
          <w:sz w:val="24"/>
          <w:szCs w:val="24"/>
        </w:rPr>
        <w:t>spelling out</w:t>
      </w:r>
      <w:r w:rsidR="00FD55FD" w:rsidRPr="00912205">
        <w:rPr>
          <w:rFonts w:ascii="Times New Roman" w:hAnsi="Times New Roman"/>
          <w:sz w:val="24"/>
          <w:szCs w:val="24"/>
        </w:rPr>
        <w:t xml:space="preserve"> the review and approval of Related Party Transactions has been adopted by the Company’s Board of Directors, as recommended by the Audit Committee, in order to set forth the procedures under which </w:t>
      </w:r>
      <w:r w:rsidR="0013196B">
        <w:rPr>
          <w:rFonts w:ascii="Times New Roman" w:hAnsi="Times New Roman"/>
          <w:sz w:val="24"/>
          <w:szCs w:val="24"/>
        </w:rPr>
        <w:t xml:space="preserve">such </w:t>
      </w:r>
      <w:r w:rsidR="00FD55FD" w:rsidRPr="00912205">
        <w:rPr>
          <w:rFonts w:ascii="Times New Roman" w:hAnsi="Times New Roman"/>
          <w:sz w:val="24"/>
          <w:szCs w:val="24"/>
        </w:rPr>
        <w:t>transactions must be reviewed and approved or ratified.</w:t>
      </w:r>
    </w:p>
    <w:p w:rsidR="00FD55FD" w:rsidRPr="00912205" w:rsidRDefault="00FD55FD" w:rsidP="008A7AD4">
      <w:pPr>
        <w:ind w:left="720"/>
        <w:jc w:val="both"/>
        <w:rPr>
          <w:rFonts w:ascii="Times New Roman" w:hAnsi="Times New Roman"/>
          <w:sz w:val="24"/>
          <w:szCs w:val="24"/>
        </w:rPr>
      </w:pPr>
    </w:p>
    <w:p w:rsidR="00FD55FD" w:rsidRPr="00912205" w:rsidRDefault="00FD55FD" w:rsidP="008A7AD4">
      <w:pPr>
        <w:ind w:left="720"/>
        <w:jc w:val="both"/>
        <w:rPr>
          <w:rFonts w:ascii="Times New Roman" w:hAnsi="Times New Roman"/>
          <w:sz w:val="24"/>
          <w:szCs w:val="24"/>
        </w:rPr>
      </w:pPr>
      <w:r w:rsidRPr="00912205">
        <w:rPr>
          <w:rFonts w:ascii="Times New Roman" w:hAnsi="Times New Roman"/>
          <w:sz w:val="24"/>
          <w:szCs w:val="24"/>
        </w:rPr>
        <w:t>This Policy is to regulate transactions between the Company and its Related Parties based on the applicable laws and regulations applicable on the Company</w:t>
      </w:r>
      <w:r w:rsidR="00ED0B35">
        <w:rPr>
          <w:rFonts w:ascii="Times New Roman" w:hAnsi="Times New Roman"/>
          <w:sz w:val="24"/>
          <w:szCs w:val="24"/>
        </w:rPr>
        <w:t xml:space="preserve"> and is </w:t>
      </w:r>
      <w:r w:rsidR="00620C13">
        <w:rPr>
          <w:rFonts w:ascii="Times New Roman" w:hAnsi="Times New Roman"/>
          <w:sz w:val="24"/>
          <w:szCs w:val="24"/>
        </w:rPr>
        <w:t xml:space="preserve">effective </w:t>
      </w:r>
      <w:r w:rsidR="00191D33">
        <w:rPr>
          <w:rFonts w:ascii="Times New Roman" w:hAnsi="Times New Roman"/>
          <w:sz w:val="24"/>
          <w:szCs w:val="24"/>
        </w:rPr>
        <w:t xml:space="preserve">from </w:t>
      </w:r>
      <w:r w:rsidR="00620C13" w:rsidRPr="006A74F1">
        <w:rPr>
          <w:rFonts w:ascii="Times New Roman" w:hAnsi="Times New Roman"/>
          <w:sz w:val="24"/>
          <w:szCs w:val="24"/>
          <w:highlight w:val="yellow"/>
        </w:rPr>
        <w:t>30th</w:t>
      </w:r>
      <w:r w:rsidR="00647ABD" w:rsidRPr="006A74F1">
        <w:rPr>
          <w:rFonts w:ascii="Times New Roman" w:hAnsi="Times New Roman"/>
          <w:sz w:val="24"/>
          <w:szCs w:val="24"/>
          <w:highlight w:val="yellow"/>
        </w:rPr>
        <w:t xml:space="preserve"> January 2015.</w:t>
      </w:r>
      <w:r w:rsidR="00647ABD">
        <w:rPr>
          <w:rFonts w:ascii="Times New Roman" w:hAnsi="Times New Roman"/>
          <w:sz w:val="24"/>
          <w:szCs w:val="24"/>
        </w:rPr>
        <w:t xml:space="preserve"> This policy represents the documentation of </w:t>
      </w:r>
      <w:r w:rsidR="005E646E">
        <w:rPr>
          <w:rFonts w:ascii="Times New Roman" w:hAnsi="Times New Roman"/>
          <w:sz w:val="24"/>
          <w:szCs w:val="24"/>
        </w:rPr>
        <w:t>the Company’s</w:t>
      </w:r>
      <w:r w:rsidR="00647ABD">
        <w:rPr>
          <w:rFonts w:ascii="Times New Roman" w:hAnsi="Times New Roman"/>
          <w:sz w:val="24"/>
          <w:szCs w:val="24"/>
        </w:rPr>
        <w:t xml:space="preserve"> existing practice on related party transactions, in line with the applicable statutory requirements.</w:t>
      </w:r>
    </w:p>
    <w:p w:rsidR="00FD55FD" w:rsidRPr="00912205" w:rsidRDefault="00FD55FD" w:rsidP="008A7AD4">
      <w:pPr>
        <w:ind w:left="720"/>
        <w:jc w:val="both"/>
        <w:rPr>
          <w:rFonts w:ascii="Times New Roman" w:hAnsi="Times New Roman"/>
          <w:sz w:val="24"/>
          <w:szCs w:val="24"/>
        </w:rPr>
      </w:pPr>
    </w:p>
    <w:p w:rsidR="00FD55FD" w:rsidRPr="00912205" w:rsidRDefault="00FD55FD" w:rsidP="008427BF">
      <w:pPr>
        <w:ind w:left="720"/>
        <w:jc w:val="both"/>
        <w:rPr>
          <w:rFonts w:ascii="Times New Roman" w:hAnsi="Times New Roman"/>
          <w:sz w:val="24"/>
          <w:szCs w:val="24"/>
        </w:rPr>
      </w:pPr>
      <w:r w:rsidRPr="00912205">
        <w:rPr>
          <w:rFonts w:ascii="Times New Roman" w:hAnsi="Times New Roman"/>
          <w:sz w:val="24"/>
          <w:szCs w:val="24"/>
        </w:rPr>
        <w:t xml:space="preserve">The Board of Directors of the Company will review and, if required, </w:t>
      </w:r>
      <w:r w:rsidR="0013196B">
        <w:rPr>
          <w:rFonts w:ascii="Times New Roman" w:hAnsi="Times New Roman"/>
          <w:sz w:val="24"/>
          <w:szCs w:val="24"/>
        </w:rPr>
        <w:t xml:space="preserve">may </w:t>
      </w:r>
      <w:r w:rsidRPr="00912205">
        <w:rPr>
          <w:rFonts w:ascii="Times New Roman" w:hAnsi="Times New Roman"/>
          <w:sz w:val="24"/>
          <w:szCs w:val="24"/>
        </w:rPr>
        <w:t xml:space="preserve">amend this Policy from time to time and such amended Policy shall also be in conformity with the provisions of the Companies Act 2013, including the Rules made </w:t>
      </w:r>
      <w:r w:rsidR="00620C13" w:rsidRPr="00912205">
        <w:rPr>
          <w:rFonts w:ascii="Times New Roman" w:hAnsi="Times New Roman"/>
          <w:sz w:val="24"/>
          <w:szCs w:val="24"/>
        </w:rPr>
        <w:t>there under</w:t>
      </w:r>
      <w:r w:rsidRPr="00912205">
        <w:rPr>
          <w:rFonts w:ascii="Times New Roman" w:hAnsi="Times New Roman"/>
          <w:sz w:val="24"/>
          <w:szCs w:val="24"/>
        </w:rPr>
        <w:t xml:space="preserve"> and Clause 49 of the Listing Agreement and must be approved in the manner as may be decided by the Board of Directors.</w:t>
      </w:r>
    </w:p>
    <w:p w:rsidR="00FD55FD" w:rsidRPr="00912205" w:rsidRDefault="00FD55FD" w:rsidP="008A7AD4">
      <w:pPr>
        <w:jc w:val="both"/>
        <w:rPr>
          <w:rFonts w:ascii="Times New Roman" w:hAnsi="Times New Roman"/>
          <w:sz w:val="24"/>
          <w:szCs w:val="24"/>
        </w:rPr>
      </w:pPr>
    </w:p>
    <w:p w:rsidR="00FD55FD" w:rsidRPr="00912205" w:rsidRDefault="00FD55FD" w:rsidP="00805B66">
      <w:pPr>
        <w:jc w:val="both"/>
        <w:outlineLvl w:val="0"/>
        <w:rPr>
          <w:rFonts w:ascii="Times New Roman" w:hAnsi="Times New Roman"/>
          <w:sz w:val="24"/>
          <w:szCs w:val="24"/>
        </w:rPr>
      </w:pPr>
      <w:r w:rsidRPr="00912205">
        <w:rPr>
          <w:rFonts w:ascii="Times New Roman" w:hAnsi="Times New Roman"/>
          <w:b/>
          <w:sz w:val="24"/>
          <w:szCs w:val="24"/>
        </w:rPr>
        <w:t>2.</w:t>
      </w:r>
      <w:r w:rsidRPr="00912205">
        <w:rPr>
          <w:rFonts w:ascii="Times New Roman" w:hAnsi="Times New Roman"/>
          <w:sz w:val="24"/>
          <w:szCs w:val="24"/>
        </w:rPr>
        <w:tab/>
      </w:r>
      <w:r w:rsidRPr="00912205">
        <w:rPr>
          <w:rFonts w:ascii="Times New Roman" w:hAnsi="Times New Roman"/>
          <w:b/>
          <w:sz w:val="24"/>
          <w:szCs w:val="24"/>
        </w:rPr>
        <w:t>Purpose</w:t>
      </w:r>
    </w:p>
    <w:p w:rsidR="00FD55FD" w:rsidRPr="00912205" w:rsidRDefault="00FD55FD" w:rsidP="008A7AD4">
      <w:pPr>
        <w:jc w:val="both"/>
        <w:rPr>
          <w:rFonts w:ascii="Times New Roman" w:hAnsi="Times New Roman"/>
          <w:sz w:val="24"/>
          <w:szCs w:val="24"/>
        </w:rPr>
      </w:pPr>
    </w:p>
    <w:p w:rsidR="00FD55FD" w:rsidRPr="00912205" w:rsidRDefault="00FD55FD" w:rsidP="008A7AD4">
      <w:pPr>
        <w:ind w:left="720"/>
        <w:jc w:val="both"/>
        <w:rPr>
          <w:rFonts w:ascii="Times New Roman" w:hAnsi="Times New Roman"/>
          <w:sz w:val="24"/>
          <w:szCs w:val="24"/>
        </w:rPr>
      </w:pPr>
      <w:r w:rsidRPr="00912205">
        <w:rPr>
          <w:rFonts w:ascii="Times New Roman" w:hAnsi="Times New Roman"/>
          <w:sz w:val="24"/>
          <w:szCs w:val="24"/>
        </w:rPr>
        <w:t xml:space="preserve">This Policy is framed as per requirement of Clause 49 of the Listing Agreement entered into by the Company with the Stock Exchanges and intended to ensure the proper approval and reporting of transactions between the Company and its Related Parties. </w:t>
      </w:r>
      <w:r w:rsidRPr="00FB5D56">
        <w:rPr>
          <w:rFonts w:ascii="Times New Roman" w:hAnsi="Times New Roman"/>
          <w:sz w:val="24"/>
          <w:szCs w:val="24"/>
        </w:rPr>
        <w:t xml:space="preserve">Such transactions </w:t>
      </w:r>
      <w:r w:rsidR="00FB5D56" w:rsidRPr="00011054">
        <w:rPr>
          <w:rFonts w:ascii="Times New Roman" w:hAnsi="Times New Roman"/>
          <w:sz w:val="24"/>
          <w:szCs w:val="24"/>
        </w:rPr>
        <w:t xml:space="preserve">may be considered </w:t>
      </w:r>
      <w:r w:rsidRPr="00FB5D56">
        <w:rPr>
          <w:rFonts w:ascii="Times New Roman" w:hAnsi="Times New Roman"/>
          <w:sz w:val="24"/>
          <w:szCs w:val="24"/>
        </w:rPr>
        <w:t>appropriate only if they are in the best interest of the Company and its shareholders</w:t>
      </w:r>
      <w:r w:rsidRPr="00912205">
        <w:rPr>
          <w:rFonts w:ascii="Times New Roman" w:hAnsi="Times New Roman"/>
          <w:sz w:val="24"/>
          <w:szCs w:val="24"/>
        </w:rPr>
        <w:t xml:space="preserve">. </w:t>
      </w:r>
    </w:p>
    <w:p w:rsidR="00FD55FD" w:rsidRPr="00912205" w:rsidRDefault="00FD55FD" w:rsidP="008A7AD4">
      <w:pPr>
        <w:jc w:val="both"/>
        <w:rPr>
          <w:rFonts w:ascii="Times New Roman" w:hAnsi="Times New Roman"/>
          <w:sz w:val="24"/>
          <w:szCs w:val="24"/>
        </w:rPr>
      </w:pPr>
    </w:p>
    <w:p w:rsidR="00FD55FD" w:rsidRPr="00912205" w:rsidRDefault="00FD55FD" w:rsidP="00805B66">
      <w:pPr>
        <w:jc w:val="both"/>
        <w:outlineLvl w:val="0"/>
        <w:rPr>
          <w:rFonts w:ascii="Times New Roman" w:hAnsi="Times New Roman"/>
          <w:sz w:val="24"/>
          <w:szCs w:val="24"/>
        </w:rPr>
      </w:pPr>
      <w:r w:rsidRPr="00912205">
        <w:rPr>
          <w:rFonts w:ascii="Times New Roman" w:hAnsi="Times New Roman"/>
          <w:b/>
          <w:sz w:val="24"/>
          <w:szCs w:val="24"/>
        </w:rPr>
        <w:t>3.</w:t>
      </w:r>
      <w:r w:rsidRPr="00912205">
        <w:rPr>
          <w:rFonts w:ascii="Times New Roman" w:hAnsi="Times New Roman"/>
          <w:sz w:val="24"/>
          <w:szCs w:val="24"/>
        </w:rPr>
        <w:tab/>
      </w:r>
      <w:r w:rsidRPr="00912205">
        <w:rPr>
          <w:rFonts w:ascii="Times New Roman" w:hAnsi="Times New Roman"/>
          <w:b/>
          <w:sz w:val="24"/>
          <w:szCs w:val="24"/>
        </w:rPr>
        <w:t>Definitions</w:t>
      </w:r>
    </w:p>
    <w:p w:rsidR="00FD55FD" w:rsidRPr="00912205" w:rsidRDefault="00FD55FD" w:rsidP="008A7AD4">
      <w:pPr>
        <w:jc w:val="both"/>
        <w:rPr>
          <w:rFonts w:ascii="Times New Roman" w:hAnsi="Times New Roman"/>
          <w:sz w:val="24"/>
          <w:szCs w:val="24"/>
        </w:rPr>
      </w:pPr>
    </w:p>
    <w:p w:rsidR="00FD55FD" w:rsidRPr="00912205" w:rsidRDefault="00FD55FD" w:rsidP="008A7AD4">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“Audit Committee or Committee” means the Audit Committee of Board of Directors of the Company;</w:t>
      </w:r>
    </w:p>
    <w:p w:rsidR="00FD55FD" w:rsidRPr="00912205" w:rsidRDefault="00FD55FD" w:rsidP="008A7AD4">
      <w:pPr>
        <w:ind w:left="360"/>
        <w:jc w:val="both"/>
        <w:rPr>
          <w:rFonts w:ascii="Times New Roman" w:hAnsi="Times New Roman"/>
          <w:sz w:val="24"/>
          <w:szCs w:val="24"/>
        </w:rPr>
      </w:pPr>
    </w:p>
    <w:p w:rsidR="00FD55FD" w:rsidRPr="00912205" w:rsidRDefault="00FD55FD" w:rsidP="008A7AD4">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“Board” means the Board of Directors of the Company;</w:t>
      </w:r>
    </w:p>
    <w:p w:rsidR="00FD55FD" w:rsidRPr="00912205" w:rsidRDefault="00FD55FD" w:rsidP="008A7AD4">
      <w:pPr>
        <w:ind w:left="360"/>
        <w:jc w:val="both"/>
        <w:rPr>
          <w:rFonts w:ascii="Times New Roman" w:hAnsi="Times New Roman"/>
          <w:sz w:val="24"/>
          <w:szCs w:val="24"/>
        </w:rPr>
      </w:pPr>
    </w:p>
    <w:p w:rsidR="00FD55FD" w:rsidRPr="00912205" w:rsidRDefault="00FD55FD" w:rsidP="00DF35EE">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“Key Managerial Personnel” means the following managerial personnel as defined under the Companies Act, 2013:</w:t>
      </w:r>
    </w:p>
    <w:p w:rsidR="00FD55FD" w:rsidRPr="00912205" w:rsidRDefault="00FD55FD" w:rsidP="001237DD">
      <w:pPr>
        <w:pStyle w:val="ListParagraph"/>
        <w:ind w:left="1080" w:firstLine="360"/>
        <w:jc w:val="both"/>
        <w:rPr>
          <w:rFonts w:ascii="Times New Roman" w:hAnsi="Times New Roman"/>
          <w:sz w:val="24"/>
          <w:szCs w:val="24"/>
        </w:rPr>
      </w:pPr>
      <w:r w:rsidRPr="00912205">
        <w:rPr>
          <w:rFonts w:ascii="Times New Roman" w:hAnsi="Times New Roman"/>
          <w:sz w:val="24"/>
          <w:szCs w:val="24"/>
        </w:rPr>
        <w:t xml:space="preserve">(i)  </w:t>
      </w:r>
      <w:proofErr w:type="gramStart"/>
      <w:r w:rsidR="00ED5293">
        <w:rPr>
          <w:rFonts w:ascii="Times New Roman" w:hAnsi="Times New Roman"/>
          <w:sz w:val="24"/>
          <w:szCs w:val="24"/>
        </w:rPr>
        <w:t>the</w:t>
      </w:r>
      <w:proofErr w:type="gramEnd"/>
      <w:r w:rsidR="001237DD">
        <w:rPr>
          <w:rFonts w:ascii="Times New Roman" w:hAnsi="Times New Roman"/>
          <w:sz w:val="24"/>
          <w:szCs w:val="24"/>
        </w:rPr>
        <w:t xml:space="preserve"> </w:t>
      </w:r>
      <w:r w:rsidRPr="00912205">
        <w:rPr>
          <w:rFonts w:ascii="Times New Roman" w:hAnsi="Times New Roman"/>
          <w:sz w:val="24"/>
          <w:szCs w:val="24"/>
        </w:rPr>
        <w:t xml:space="preserve">Chief Executive Officer </w:t>
      </w:r>
      <w:r w:rsidR="00ED5293">
        <w:rPr>
          <w:rFonts w:ascii="Times New Roman" w:hAnsi="Times New Roman"/>
          <w:sz w:val="24"/>
          <w:szCs w:val="24"/>
        </w:rPr>
        <w:t xml:space="preserve">or the managing director </w:t>
      </w:r>
      <w:r w:rsidRPr="00912205">
        <w:rPr>
          <w:rFonts w:ascii="Times New Roman" w:hAnsi="Times New Roman"/>
          <w:sz w:val="24"/>
          <w:szCs w:val="24"/>
        </w:rPr>
        <w:t>or manager ;</w:t>
      </w:r>
    </w:p>
    <w:p w:rsidR="00FD55FD" w:rsidRPr="00912205" w:rsidRDefault="00FD55FD" w:rsidP="00B73F07">
      <w:pPr>
        <w:ind w:left="1440"/>
        <w:jc w:val="both"/>
        <w:rPr>
          <w:rFonts w:ascii="Times New Roman" w:hAnsi="Times New Roman"/>
          <w:sz w:val="24"/>
          <w:szCs w:val="24"/>
        </w:rPr>
      </w:pPr>
      <w:r w:rsidRPr="00912205">
        <w:rPr>
          <w:rFonts w:ascii="Times New Roman" w:hAnsi="Times New Roman"/>
          <w:sz w:val="24"/>
          <w:szCs w:val="24"/>
        </w:rPr>
        <w:t xml:space="preserve">(ii) </w:t>
      </w:r>
      <w:proofErr w:type="gramStart"/>
      <w:r w:rsidR="00ED5293">
        <w:rPr>
          <w:rFonts w:ascii="Times New Roman" w:hAnsi="Times New Roman"/>
          <w:sz w:val="24"/>
          <w:szCs w:val="24"/>
        </w:rPr>
        <w:t>the</w:t>
      </w:r>
      <w:proofErr w:type="gramEnd"/>
      <w:r w:rsidR="001237DD">
        <w:rPr>
          <w:rFonts w:ascii="Times New Roman" w:hAnsi="Times New Roman"/>
          <w:sz w:val="24"/>
          <w:szCs w:val="24"/>
        </w:rPr>
        <w:t xml:space="preserve"> </w:t>
      </w:r>
      <w:r w:rsidRPr="00912205">
        <w:rPr>
          <w:rFonts w:ascii="Times New Roman" w:hAnsi="Times New Roman"/>
          <w:sz w:val="24"/>
          <w:szCs w:val="24"/>
        </w:rPr>
        <w:t xml:space="preserve">Company Secretary; </w:t>
      </w:r>
    </w:p>
    <w:p w:rsidR="00ED5293" w:rsidRDefault="00FD55FD" w:rsidP="00B73F07">
      <w:pPr>
        <w:ind w:left="1440"/>
        <w:jc w:val="both"/>
        <w:rPr>
          <w:rFonts w:ascii="Times New Roman" w:hAnsi="Times New Roman"/>
          <w:sz w:val="24"/>
          <w:szCs w:val="24"/>
        </w:rPr>
      </w:pPr>
      <w:r w:rsidRPr="00912205">
        <w:rPr>
          <w:rFonts w:ascii="Times New Roman" w:hAnsi="Times New Roman"/>
          <w:sz w:val="24"/>
          <w:szCs w:val="24"/>
        </w:rPr>
        <w:t xml:space="preserve">(iii) </w:t>
      </w:r>
      <w:proofErr w:type="gramStart"/>
      <w:r w:rsidR="00ED5293">
        <w:rPr>
          <w:rFonts w:ascii="Times New Roman" w:hAnsi="Times New Roman"/>
          <w:sz w:val="24"/>
          <w:szCs w:val="24"/>
        </w:rPr>
        <w:t>the</w:t>
      </w:r>
      <w:proofErr w:type="gramEnd"/>
      <w:r w:rsidR="00ED5293">
        <w:rPr>
          <w:rFonts w:ascii="Times New Roman" w:hAnsi="Times New Roman"/>
          <w:sz w:val="24"/>
          <w:szCs w:val="24"/>
        </w:rPr>
        <w:t xml:space="preserve"> whole-time director;</w:t>
      </w:r>
    </w:p>
    <w:p w:rsidR="00FD55FD" w:rsidRDefault="00ED5293" w:rsidP="00B73F07">
      <w:pPr>
        <w:ind w:left="1440"/>
        <w:jc w:val="both"/>
        <w:rPr>
          <w:rFonts w:ascii="Times New Roman" w:hAnsi="Times New Roman"/>
          <w:sz w:val="24"/>
          <w:szCs w:val="24"/>
        </w:rPr>
      </w:pPr>
      <w:r>
        <w:rPr>
          <w:rFonts w:ascii="Times New Roman" w:hAnsi="Times New Roman"/>
          <w:sz w:val="24"/>
          <w:szCs w:val="24"/>
        </w:rPr>
        <w:lastRenderedPageBreak/>
        <w:t xml:space="preserve">(iv) </w:t>
      </w:r>
      <w:proofErr w:type="gramStart"/>
      <w:r>
        <w:rPr>
          <w:rFonts w:ascii="Times New Roman" w:hAnsi="Times New Roman"/>
          <w:sz w:val="24"/>
          <w:szCs w:val="24"/>
        </w:rPr>
        <w:t>the</w:t>
      </w:r>
      <w:proofErr w:type="gramEnd"/>
      <w:r w:rsidR="001237DD">
        <w:rPr>
          <w:rFonts w:ascii="Times New Roman" w:hAnsi="Times New Roman"/>
          <w:sz w:val="24"/>
          <w:szCs w:val="24"/>
        </w:rPr>
        <w:t xml:space="preserve"> </w:t>
      </w:r>
      <w:r w:rsidR="00FD55FD" w:rsidRPr="00912205">
        <w:rPr>
          <w:rFonts w:ascii="Times New Roman" w:hAnsi="Times New Roman"/>
          <w:sz w:val="24"/>
          <w:szCs w:val="24"/>
        </w:rPr>
        <w:t>Chief Financial Officer</w:t>
      </w:r>
      <w:r>
        <w:rPr>
          <w:rFonts w:ascii="Times New Roman" w:hAnsi="Times New Roman"/>
          <w:sz w:val="24"/>
          <w:szCs w:val="24"/>
        </w:rPr>
        <w:t xml:space="preserve"> and</w:t>
      </w:r>
    </w:p>
    <w:p w:rsidR="00ED5293" w:rsidRPr="00912205" w:rsidRDefault="00ED5293" w:rsidP="00B73F07">
      <w:pPr>
        <w:ind w:left="1440"/>
        <w:jc w:val="both"/>
        <w:rPr>
          <w:rFonts w:ascii="Times New Roman" w:hAnsi="Times New Roman"/>
          <w:sz w:val="24"/>
          <w:szCs w:val="24"/>
        </w:rPr>
      </w:pPr>
      <w:r>
        <w:rPr>
          <w:rFonts w:ascii="Times New Roman" w:hAnsi="Times New Roman"/>
          <w:sz w:val="24"/>
          <w:szCs w:val="24"/>
        </w:rPr>
        <w:t xml:space="preserve">(v) </w:t>
      </w:r>
      <w:proofErr w:type="gramStart"/>
      <w:r>
        <w:rPr>
          <w:rFonts w:ascii="Times New Roman" w:hAnsi="Times New Roman"/>
          <w:sz w:val="24"/>
          <w:szCs w:val="24"/>
        </w:rPr>
        <w:t>such</w:t>
      </w:r>
      <w:proofErr w:type="gramEnd"/>
      <w:r>
        <w:rPr>
          <w:rFonts w:ascii="Times New Roman" w:hAnsi="Times New Roman"/>
          <w:sz w:val="24"/>
          <w:szCs w:val="24"/>
        </w:rPr>
        <w:t xml:space="preserve"> other officer as may be prescribed</w:t>
      </w:r>
      <w:r w:rsidR="00F51DC7">
        <w:rPr>
          <w:rFonts w:ascii="Times New Roman" w:hAnsi="Times New Roman"/>
          <w:sz w:val="24"/>
          <w:szCs w:val="24"/>
        </w:rPr>
        <w:t xml:space="preserve"> under the Companies Act 2013</w:t>
      </w:r>
      <w:r>
        <w:rPr>
          <w:rFonts w:ascii="Times New Roman" w:hAnsi="Times New Roman"/>
          <w:sz w:val="24"/>
          <w:szCs w:val="24"/>
        </w:rPr>
        <w:t>;</w:t>
      </w:r>
    </w:p>
    <w:p w:rsidR="00FD55FD" w:rsidRPr="00912205" w:rsidRDefault="00FD55FD" w:rsidP="008A7AD4">
      <w:pPr>
        <w:pStyle w:val="ListParagraph"/>
        <w:ind w:left="1080"/>
        <w:jc w:val="both"/>
        <w:rPr>
          <w:rFonts w:ascii="Times New Roman" w:hAnsi="Times New Roman"/>
          <w:sz w:val="24"/>
          <w:szCs w:val="24"/>
        </w:rPr>
      </w:pPr>
    </w:p>
    <w:p w:rsidR="00FD55FD" w:rsidRPr="00912205" w:rsidRDefault="00FD55FD" w:rsidP="008A7AD4">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“Policy” means this Related Party Transactions Policy;</w:t>
      </w:r>
    </w:p>
    <w:p w:rsidR="00FD55FD" w:rsidRPr="00912205" w:rsidRDefault="00FD55FD" w:rsidP="008A7AD4">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“Related Party” means an entity which is a related party as defined in Section 2(76) of the Companies Act, 2013 or if such entity is related party under the applicable Accounting Standards;</w:t>
      </w:r>
    </w:p>
    <w:p w:rsidR="00FD55FD" w:rsidRPr="00912205" w:rsidRDefault="00FD55FD" w:rsidP="008A7AD4">
      <w:pPr>
        <w:jc w:val="both"/>
        <w:rPr>
          <w:rFonts w:ascii="Times New Roman" w:hAnsi="Times New Roman"/>
          <w:sz w:val="24"/>
          <w:szCs w:val="24"/>
        </w:rPr>
      </w:pPr>
    </w:p>
    <w:p w:rsidR="00FD55FD" w:rsidRPr="00912205" w:rsidRDefault="00FD55FD" w:rsidP="008A7AD4">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“Related Party Transaction” means any transaction directly or indirectly involving any Related Party which is a transfer of resources, services or obligations between a company and a related party, regardless of whether a price is charged;</w:t>
      </w:r>
    </w:p>
    <w:p w:rsidR="00FD55FD" w:rsidRDefault="00FD55FD" w:rsidP="001F4E8B">
      <w:pPr>
        <w:pStyle w:val="ListParagraph"/>
        <w:rPr>
          <w:rFonts w:ascii="Times New Roman" w:hAnsi="Times New Roman"/>
          <w:sz w:val="24"/>
          <w:szCs w:val="24"/>
        </w:rPr>
      </w:pPr>
    </w:p>
    <w:p w:rsidR="00ED5293" w:rsidRPr="00ED5293" w:rsidRDefault="00ED5293" w:rsidP="00B8263C">
      <w:pPr>
        <w:pStyle w:val="ListParagraph"/>
        <w:ind w:left="1080"/>
        <w:jc w:val="both"/>
        <w:rPr>
          <w:rFonts w:ascii="Times New Roman" w:hAnsi="Times New Roman"/>
          <w:sz w:val="24"/>
          <w:szCs w:val="24"/>
        </w:rPr>
      </w:pPr>
      <w:r w:rsidRPr="00ED5293">
        <w:rPr>
          <w:rFonts w:ascii="Times New Roman" w:hAnsi="Times New Roman"/>
          <w:sz w:val="24"/>
          <w:szCs w:val="24"/>
        </w:rPr>
        <w:t>A “transaction” with a related party shall be construed to include single transaction or a group of transactions in a contract.</w:t>
      </w:r>
    </w:p>
    <w:p w:rsidR="00ED5293" w:rsidRPr="00912205" w:rsidRDefault="00ED5293" w:rsidP="00B8263C">
      <w:pPr>
        <w:pStyle w:val="ListParagraph"/>
        <w:ind w:left="1080"/>
        <w:rPr>
          <w:rFonts w:ascii="Times New Roman" w:hAnsi="Times New Roman"/>
          <w:sz w:val="24"/>
          <w:szCs w:val="24"/>
        </w:rPr>
      </w:pPr>
    </w:p>
    <w:p w:rsidR="00FD55FD" w:rsidRPr="00912205" w:rsidRDefault="00FD55FD" w:rsidP="001F4E8B">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“Material Related Party Transaction” means a transaction with a related party if the transaction/transactions to be entered into individually or taken together with previous transactions during a financial year, exceeds ten percent of the consolidated annual turnover of the Company as per the last audited financial statements of the Company; &amp;</w:t>
      </w:r>
    </w:p>
    <w:p w:rsidR="00FD55FD" w:rsidRPr="00912205" w:rsidRDefault="00FD55FD" w:rsidP="008A7AD4">
      <w:pPr>
        <w:pStyle w:val="ListParagraph"/>
        <w:ind w:left="1080"/>
        <w:jc w:val="both"/>
        <w:rPr>
          <w:rFonts w:ascii="Times New Roman" w:hAnsi="Times New Roman"/>
          <w:sz w:val="24"/>
          <w:szCs w:val="24"/>
        </w:rPr>
      </w:pPr>
    </w:p>
    <w:p w:rsidR="00FD55FD" w:rsidRPr="00912205" w:rsidRDefault="00FD55FD" w:rsidP="008A7AD4">
      <w:pPr>
        <w:pStyle w:val="ListParagraph"/>
        <w:numPr>
          <w:ilvl w:val="0"/>
          <w:numId w:val="1"/>
        </w:numPr>
        <w:ind w:left="1080"/>
        <w:jc w:val="both"/>
        <w:rPr>
          <w:rFonts w:ascii="Times New Roman" w:hAnsi="Times New Roman"/>
          <w:sz w:val="24"/>
          <w:szCs w:val="24"/>
        </w:rPr>
      </w:pPr>
      <w:r w:rsidRPr="00912205">
        <w:rPr>
          <w:rFonts w:ascii="Times New Roman" w:hAnsi="Times New Roman"/>
          <w:sz w:val="24"/>
          <w:szCs w:val="24"/>
        </w:rPr>
        <w:t xml:space="preserve">“Relative” means a relative as defined in Section 2(77) of the Companies Act, 2013. </w:t>
      </w:r>
    </w:p>
    <w:p w:rsidR="00FD55FD" w:rsidRDefault="00FD55FD" w:rsidP="008A7AD4">
      <w:pPr>
        <w:jc w:val="both"/>
        <w:rPr>
          <w:sz w:val="24"/>
          <w:szCs w:val="24"/>
        </w:rPr>
      </w:pPr>
    </w:p>
    <w:p w:rsidR="00551775" w:rsidRPr="00AC006B" w:rsidRDefault="00551775" w:rsidP="008A7AD4">
      <w:pPr>
        <w:jc w:val="both"/>
        <w:rPr>
          <w:rFonts w:ascii="Times New Roman" w:hAnsi="Times New Roman"/>
          <w:sz w:val="24"/>
          <w:szCs w:val="24"/>
        </w:rPr>
      </w:pPr>
      <w:r w:rsidRPr="00AC006B">
        <w:rPr>
          <w:rFonts w:ascii="Times New Roman" w:hAnsi="Times New Roman"/>
          <w:sz w:val="24"/>
          <w:szCs w:val="24"/>
        </w:rPr>
        <w:t xml:space="preserve"> Words and expressions used in this Policy not specifically defined hereunder will have the same meaning assigned to them in the Companies Act, 2013 or Rules framed there under and applicable SEBI Regulations.</w:t>
      </w:r>
    </w:p>
    <w:p w:rsidR="00551775" w:rsidRPr="00912205" w:rsidRDefault="00551775" w:rsidP="008A7AD4">
      <w:pPr>
        <w:jc w:val="both"/>
        <w:rPr>
          <w:sz w:val="24"/>
          <w:szCs w:val="24"/>
        </w:rPr>
      </w:pPr>
    </w:p>
    <w:p w:rsidR="00FD55FD" w:rsidRPr="00912205" w:rsidRDefault="00FD55FD" w:rsidP="00805B66">
      <w:pPr>
        <w:jc w:val="both"/>
        <w:outlineLvl w:val="0"/>
        <w:rPr>
          <w:rFonts w:ascii="Times New Roman" w:hAnsi="Times New Roman"/>
          <w:sz w:val="24"/>
          <w:szCs w:val="24"/>
        </w:rPr>
      </w:pPr>
      <w:r w:rsidRPr="00912205">
        <w:rPr>
          <w:sz w:val="24"/>
          <w:szCs w:val="24"/>
        </w:rPr>
        <w:t xml:space="preserve">4. </w:t>
      </w:r>
      <w:r w:rsidRPr="00912205">
        <w:rPr>
          <w:b/>
          <w:sz w:val="24"/>
          <w:szCs w:val="24"/>
        </w:rPr>
        <w:tab/>
      </w:r>
      <w:r w:rsidRPr="00912205">
        <w:rPr>
          <w:rFonts w:ascii="Times New Roman" w:hAnsi="Times New Roman"/>
          <w:b/>
          <w:sz w:val="24"/>
          <w:szCs w:val="24"/>
        </w:rPr>
        <w:t>Policy</w:t>
      </w:r>
    </w:p>
    <w:p w:rsidR="00FD55FD" w:rsidRPr="00912205" w:rsidRDefault="00FD55FD" w:rsidP="008A7AD4">
      <w:pPr>
        <w:jc w:val="both"/>
        <w:rPr>
          <w:rFonts w:ascii="Times New Roman" w:hAnsi="Times New Roman"/>
          <w:sz w:val="24"/>
          <w:szCs w:val="24"/>
        </w:rPr>
      </w:pPr>
    </w:p>
    <w:p w:rsidR="00FD55FD" w:rsidRPr="00912205" w:rsidRDefault="00FD55FD" w:rsidP="008A7AD4">
      <w:pPr>
        <w:ind w:left="720"/>
        <w:jc w:val="both"/>
        <w:rPr>
          <w:rFonts w:ascii="Times New Roman" w:hAnsi="Times New Roman"/>
          <w:sz w:val="24"/>
          <w:szCs w:val="24"/>
        </w:rPr>
      </w:pPr>
      <w:r w:rsidRPr="00912205">
        <w:rPr>
          <w:rFonts w:ascii="Times New Roman" w:hAnsi="Times New Roman"/>
          <w:sz w:val="24"/>
          <w:szCs w:val="24"/>
        </w:rPr>
        <w:t>All Related Party Transactions shall require prior approval of the Audit Committee unless otherwise specifically exempted in accordance with this Policy.</w:t>
      </w:r>
    </w:p>
    <w:p w:rsidR="00FD55FD" w:rsidRPr="00912205" w:rsidRDefault="00FD55FD" w:rsidP="008A7AD4">
      <w:pPr>
        <w:jc w:val="both"/>
        <w:rPr>
          <w:rFonts w:ascii="Times New Roman" w:hAnsi="Times New Roman"/>
          <w:sz w:val="24"/>
          <w:szCs w:val="24"/>
        </w:rPr>
      </w:pPr>
    </w:p>
    <w:p w:rsidR="00FD55FD" w:rsidRPr="00912205" w:rsidRDefault="00FD55FD" w:rsidP="008A7AD4">
      <w:pPr>
        <w:pStyle w:val="ListParagraph"/>
        <w:numPr>
          <w:ilvl w:val="0"/>
          <w:numId w:val="2"/>
        </w:numPr>
        <w:jc w:val="both"/>
        <w:rPr>
          <w:rFonts w:ascii="Times New Roman" w:hAnsi="Times New Roman"/>
          <w:b/>
          <w:sz w:val="24"/>
          <w:szCs w:val="24"/>
        </w:rPr>
      </w:pPr>
      <w:r w:rsidRPr="00912205">
        <w:rPr>
          <w:rFonts w:ascii="Times New Roman" w:hAnsi="Times New Roman"/>
          <w:b/>
          <w:sz w:val="24"/>
          <w:szCs w:val="24"/>
        </w:rPr>
        <w:t xml:space="preserve">Identification of Potential Related Party </w:t>
      </w:r>
      <w:r w:rsidR="00C27FB1" w:rsidRPr="00912205">
        <w:rPr>
          <w:rFonts w:ascii="Times New Roman" w:hAnsi="Times New Roman"/>
          <w:b/>
          <w:sz w:val="24"/>
          <w:szCs w:val="24"/>
        </w:rPr>
        <w:t xml:space="preserve">and </w:t>
      </w:r>
      <w:r w:rsidRPr="00912205">
        <w:rPr>
          <w:rFonts w:ascii="Times New Roman" w:hAnsi="Times New Roman"/>
          <w:b/>
          <w:sz w:val="24"/>
          <w:szCs w:val="24"/>
        </w:rPr>
        <w:t>Transactions</w:t>
      </w:r>
    </w:p>
    <w:p w:rsidR="00FD55FD" w:rsidRPr="00912205" w:rsidRDefault="00FD55FD" w:rsidP="008A7AD4">
      <w:pPr>
        <w:jc w:val="both"/>
        <w:rPr>
          <w:rFonts w:ascii="Times New Roman" w:hAnsi="Times New Roman"/>
          <w:sz w:val="24"/>
          <w:szCs w:val="24"/>
        </w:rPr>
      </w:pPr>
    </w:p>
    <w:p w:rsidR="00FD55FD" w:rsidRPr="00912205" w:rsidRDefault="0013196B" w:rsidP="008A7AD4">
      <w:pPr>
        <w:ind w:left="1080"/>
        <w:jc w:val="both"/>
        <w:rPr>
          <w:rFonts w:ascii="Times New Roman" w:hAnsi="Times New Roman"/>
          <w:sz w:val="24"/>
          <w:szCs w:val="24"/>
        </w:rPr>
      </w:pPr>
      <w:r>
        <w:rPr>
          <w:rFonts w:ascii="Times New Roman" w:hAnsi="Times New Roman"/>
          <w:sz w:val="24"/>
          <w:szCs w:val="24"/>
        </w:rPr>
        <w:t xml:space="preserve"> Every</w:t>
      </w:r>
      <w:r w:rsidR="00FD55FD" w:rsidRPr="00912205">
        <w:rPr>
          <w:rFonts w:ascii="Times New Roman" w:hAnsi="Times New Roman"/>
          <w:sz w:val="24"/>
          <w:szCs w:val="24"/>
        </w:rPr>
        <w:t xml:space="preserve"> director and Key Managerial Personnel is responsible for providing notice to the Board or the Audit Committee of </w:t>
      </w:r>
      <w:r w:rsidR="00C27FB1" w:rsidRPr="00912205">
        <w:rPr>
          <w:rFonts w:ascii="Times New Roman" w:hAnsi="Times New Roman"/>
          <w:sz w:val="24"/>
          <w:szCs w:val="24"/>
        </w:rPr>
        <w:t>the list of re</w:t>
      </w:r>
      <w:r w:rsidR="001237DD">
        <w:rPr>
          <w:rFonts w:ascii="Times New Roman" w:hAnsi="Times New Roman"/>
          <w:sz w:val="24"/>
          <w:szCs w:val="24"/>
        </w:rPr>
        <w:t xml:space="preserve">lated parties as covered under Sec </w:t>
      </w:r>
      <w:r w:rsidR="00C27FB1" w:rsidRPr="00912205">
        <w:rPr>
          <w:rFonts w:ascii="Times New Roman" w:hAnsi="Times New Roman"/>
          <w:sz w:val="24"/>
          <w:szCs w:val="24"/>
        </w:rPr>
        <w:t xml:space="preserve">2(76) of the Companies Act as well </w:t>
      </w:r>
      <w:r w:rsidR="00F225CB">
        <w:rPr>
          <w:rFonts w:ascii="Times New Roman" w:hAnsi="Times New Roman"/>
          <w:sz w:val="24"/>
          <w:szCs w:val="24"/>
        </w:rPr>
        <w:t xml:space="preserve">as </w:t>
      </w:r>
      <w:r w:rsidR="00C27FB1" w:rsidRPr="00912205">
        <w:rPr>
          <w:rFonts w:ascii="Times New Roman" w:hAnsi="Times New Roman"/>
          <w:sz w:val="24"/>
          <w:szCs w:val="24"/>
        </w:rPr>
        <w:t xml:space="preserve">under Accounting Standard 18. This list of related parties shall be updated on an annual basis and further changes informed as soon as possible. </w:t>
      </w:r>
      <w:r w:rsidR="001E3507" w:rsidRPr="00912205">
        <w:rPr>
          <w:rFonts w:ascii="Times New Roman" w:hAnsi="Times New Roman"/>
          <w:sz w:val="24"/>
          <w:szCs w:val="24"/>
        </w:rPr>
        <w:t>E</w:t>
      </w:r>
      <w:r w:rsidR="00C27FB1" w:rsidRPr="00912205">
        <w:rPr>
          <w:rFonts w:ascii="Times New Roman" w:hAnsi="Times New Roman"/>
          <w:sz w:val="24"/>
          <w:szCs w:val="24"/>
        </w:rPr>
        <w:t xml:space="preserve">ach director as well as KMP </w:t>
      </w:r>
      <w:r w:rsidR="001E3507" w:rsidRPr="00912205">
        <w:rPr>
          <w:rFonts w:ascii="Times New Roman" w:hAnsi="Times New Roman"/>
          <w:sz w:val="24"/>
          <w:szCs w:val="24"/>
        </w:rPr>
        <w:t xml:space="preserve">shall </w:t>
      </w:r>
      <w:r w:rsidR="00C27FB1" w:rsidRPr="00912205">
        <w:rPr>
          <w:rFonts w:ascii="Times New Roman" w:hAnsi="Times New Roman"/>
          <w:sz w:val="24"/>
          <w:szCs w:val="24"/>
        </w:rPr>
        <w:t xml:space="preserve">inform in advance </w:t>
      </w:r>
      <w:r w:rsidR="00F225CB">
        <w:rPr>
          <w:rFonts w:ascii="Times New Roman" w:hAnsi="Times New Roman"/>
          <w:sz w:val="24"/>
          <w:szCs w:val="24"/>
        </w:rPr>
        <w:t xml:space="preserve">to </w:t>
      </w:r>
      <w:r w:rsidR="00C27FB1" w:rsidRPr="00912205">
        <w:rPr>
          <w:rFonts w:ascii="Times New Roman" w:hAnsi="Times New Roman"/>
          <w:sz w:val="24"/>
          <w:szCs w:val="24"/>
        </w:rPr>
        <w:t xml:space="preserve">the Company of </w:t>
      </w:r>
      <w:r w:rsidR="00FD55FD" w:rsidRPr="00912205">
        <w:rPr>
          <w:rFonts w:ascii="Times New Roman" w:hAnsi="Times New Roman"/>
          <w:sz w:val="24"/>
          <w:szCs w:val="24"/>
        </w:rPr>
        <w:t>any potential Related Party Transaction invo</w:t>
      </w:r>
      <w:r w:rsidR="001237DD">
        <w:rPr>
          <w:rFonts w:ascii="Times New Roman" w:hAnsi="Times New Roman"/>
          <w:sz w:val="24"/>
          <w:szCs w:val="24"/>
        </w:rPr>
        <w:t>lving him or her or his or her r</w:t>
      </w:r>
      <w:r w:rsidR="00FD55FD" w:rsidRPr="00912205">
        <w:rPr>
          <w:rFonts w:ascii="Times New Roman" w:hAnsi="Times New Roman"/>
          <w:sz w:val="24"/>
          <w:szCs w:val="24"/>
        </w:rPr>
        <w:t>elative, including any additional information about the transaction that the Board/Audit Committee may reasonably request. Board/Audit Committee will determine whether the transaction does, in fact, constitute a Related Party Transaction requiring compliance with this Policy.</w:t>
      </w:r>
    </w:p>
    <w:p w:rsidR="00FD55FD" w:rsidRPr="00912205" w:rsidRDefault="00FD55FD" w:rsidP="008A7AD4">
      <w:pPr>
        <w:jc w:val="both"/>
        <w:rPr>
          <w:rFonts w:ascii="Times New Roman" w:hAnsi="Times New Roman"/>
          <w:sz w:val="24"/>
          <w:szCs w:val="24"/>
        </w:rPr>
      </w:pPr>
    </w:p>
    <w:p w:rsidR="00FD55FD" w:rsidRPr="00912205" w:rsidRDefault="00720935" w:rsidP="008A7AD4">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Restrictions </w:t>
      </w:r>
      <w:r w:rsidR="00FD55FD" w:rsidRPr="00912205">
        <w:rPr>
          <w:rFonts w:ascii="Times New Roman" w:hAnsi="Times New Roman"/>
          <w:b/>
          <w:sz w:val="24"/>
          <w:szCs w:val="24"/>
        </w:rPr>
        <w:t>relating to Related Party Transactions</w:t>
      </w:r>
    </w:p>
    <w:p w:rsidR="00FD55FD" w:rsidRPr="00912205" w:rsidRDefault="00FD55FD" w:rsidP="008A7AD4">
      <w:pPr>
        <w:jc w:val="both"/>
        <w:rPr>
          <w:rFonts w:ascii="Times New Roman" w:hAnsi="Times New Roman"/>
          <w:sz w:val="24"/>
          <w:szCs w:val="24"/>
        </w:rPr>
      </w:pPr>
    </w:p>
    <w:p w:rsidR="00F10DD5" w:rsidRPr="00912205" w:rsidRDefault="00FD55FD" w:rsidP="008A7AD4">
      <w:pPr>
        <w:ind w:left="1080"/>
        <w:jc w:val="both"/>
        <w:rPr>
          <w:rFonts w:ascii="Times New Roman" w:hAnsi="Times New Roman"/>
          <w:sz w:val="24"/>
          <w:szCs w:val="24"/>
        </w:rPr>
      </w:pPr>
      <w:r w:rsidRPr="00912205">
        <w:rPr>
          <w:rFonts w:ascii="Times New Roman" w:hAnsi="Times New Roman"/>
          <w:sz w:val="24"/>
          <w:szCs w:val="24"/>
        </w:rPr>
        <w:t>All Related Party Transactions shall require prior approval of Audit Committee. Further, all Material Related Party Transactions shall require approval of the shareholders through special resolution and the Related Parties shall abstain from voting on such resolutions.</w:t>
      </w:r>
    </w:p>
    <w:p w:rsidR="00F10DD5" w:rsidRPr="00912205" w:rsidRDefault="00F10DD5" w:rsidP="00912205">
      <w:pPr>
        <w:ind w:left="1080"/>
        <w:jc w:val="both"/>
        <w:rPr>
          <w:rFonts w:ascii="Times New Roman" w:hAnsi="Times New Roman"/>
          <w:sz w:val="24"/>
          <w:szCs w:val="24"/>
        </w:rPr>
      </w:pPr>
    </w:p>
    <w:p w:rsidR="00FD55FD" w:rsidRPr="00912205" w:rsidRDefault="00587A7D" w:rsidP="008A7AD4">
      <w:pPr>
        <w:ind w:left="1080"/>
        <w:jc w:val="both"/>
        <w:rPr>
          <w:rFonts w:ascii="Times New Roman" w:hAnsi="Times New Roman"/>
          <w:sz w:val="24"/>
          <w:szCs w:val="24"/>
        </w:rPr>
      </w:pPr>
      <w:r w:rsidRPr="00912205">
        <w:rPr>
          <w:rFonts w:ascii="Times New Roman" w:hAnsi="Times New Roman"/>
          <w:sz w:val="24"/>
          <w:szCs w:val="24"/>
        </w:rPr>
        <w:t xml:space="preserve">The following transactions will also require </w:t>
      </w:r>
      <w:r w:rsidR="00F10DD5" w:rsidRPr="00912205">
        <w:rPr>
          <w:rFonts w:ascii="Times New Roman" w:hAnsi="Times New Roman"/>
          <w:sz w:val="24"/>
          <w:szCs w:val="24"/>
        </w:rPr>
        <w:t xml:space="preserve">prior approval </w:t>
      </w:r>
      <w:r w:rsidRPr="00912205">
        <w:rPr>
          <w:rFonts w:ascii="Times New Roman" w:hAnsi="Times New Roman"/>
          <w:sz w:val="24"/>
          <w:szCs w:val="24"/>
        </w:rPr>
        <w:t xml:space="preserve">of the shareholders through </w:t>
      </w:r>
      <w:r w:rsidR="00F10DD5" w:rsidRPr="00912205">
        <w:rPr>
          <w:rFonts w:ascii="Times New Roman" w:hAnsi="Times New Roman"/>
          <w:sz w:val="24"/>
          <w:szCs w:val="24"/>
        </w:rPr>
        <w:t>special resolution</w:t>
      </w:r>
      <w:r w:rsidRPr="00912205">
        <w:rPr>
          <w:rFonts w:ascii="Times New Roman" w:hAnsi="Times New Roman"/>
          <w:sz w:val="24"/>
          <w:szCs w:val="24"/>
        </w:rPr>
        <w:t>.</w:t>
      </w:r>
    </w:p>
    <w:p w:rsidR="00F10DD5" w:rsidRPr="00912205" w:rsidRDefault="00F10DD5" w:rsidP="008A7AD4">
      <w:pPr>
        <w:ind w:left="1080"/>
        <w:jc w:val="both"/>
        <w:rPr>
          <w:rFonts w:ascii="Times New Roman" w:hAnsi="Times New Roman"/>
          <w:sz w:val="24"/>
          <w:szCs w:val="24"/>
        </w:rPr>
      </w:pPr>
    </w:p>
    <w:p w:rsidR="00F10DD5" w:rsidRPr="00912205" w:rsidRDefault="00F10DD5" w:rsidP="00587A7D">
      <w:pPr>
        <w:pStyle w:val="ListParagraph"/>
        <w:numPr>
          <w:ilvl w:val="0"/>
          <w:numId w:val="8"/>
        </w:numPr>
        <w:jc w:val="both"/>
        <w:rPr>
          <w:rFonts w:ascii="Times New Roman" w:hAnsi="Times New Roman"/>
          <w:sz w:val="24"/>
          <w:szCs w:val="24"/>
        </w:rPr>
      </w:pPr>
      <w:r w:rsidRPr="00912205">
        <w:rPr>
          <w:rFonts w:ascii="Times New Roman" w:hAnsi="Times New Roman"/>
          <w:sz w:val="24"/>
          <w:szCs w:val="24"/>
        </w:rPr>
        <w:t>Sale, purchase or supply of goods or materials, directly or through appointment of agent exceeding 10% of the t</w:t>
      </w:r>
      <w:r w:rsidR="001237DD">
        <w:rPr>
          <w:rFonts w:ascii="Times New Roman" w:hAnsi="Times New Roman"/>
          <w:sz w:val="24"/>
          <w:szCs w:val="24"/>
        </w:rPr>
        <w:t>urnover of the Company or Rs.25</w:t>
      </w:r>
      <w:r w:rsidRPr="00912205">
        <w:rPr>
          <w:rFonts w:ascii="Times New Roman" w:hAnsi="Times New Roman"/>
          <w:sz w:val="24"/>
          <w:szCs w:val="24"/>
        </w:rPr>
        <w:t xml:space="preserve"> crores</w:t>
      </w:r>
      <w:r w:rsidR="00ED5293">
        <w:rPr>
          <w:rFonts w:ascii="Times New Roman" w:hAnsi="Times New Roman"/>
          <w:sz w:val="24"/>
          <w:szCs w:val="24"/>
        </w:rPr>
        <w:t>,</w:t>
      </w:r>
      <w:r w:rsidRPr="00912205">
        <w:rPr>
          <w:rFonts w:ascii="Times New Roman" w:hAnsi="Times New Roman"/>
          <w:sz w:val="24"/>
          <w:szCs w:val="24"/>
        </w:rPr>
        <w:t xml:space="preserve"> whichever is lower;</w:t>
      </w:r>
    </w:p>
    <w:p w:rsidR="00F10DD5" w:rsidRPr="00912205" w:rsidRDefault="00F10DD5" w:rsidP="00587A7D">
      <w:pPr>
        <w:pStyle w:val="ListParagraph"/>
        <w:numPr>
          <w:ilvl w:val="0"/>
          <w:numId w:val="8"/>
        </w:numPr>
        <w:jc w:val="both"/>
        <w:rPr>
          <w:rFonts w:ascii="Times New Roman" w:hAnsi="Times New Roman"/>
          <w:sz w:val="24"/>
          <w:szCs w:val="24"/>
        </w:rPr>
      </w:pPr>
      <w:r w:rsidRPr="00912205">
        <w:rPr>
          <w:rFonts w:ascii="Times New Roman" w:hAnsi="Times New Roman"/>
          <w:sz w:val="24"/>
          <w:szCs w:val="24"/>
        </w:rPr>
        <w:t xml:space="preserve">Selling or disposing or purchasing of property of any kind, directly or through appointment of an agent, exceeding 10% of the </w:t>
      </w:r>
      <w:proofErr w:type="spellStart"/>
      <w:r w:rsidRPr="00912205">
        <w:rPr>
          <w:rFonts w:ascii="Times New Roman" w:hAnsi="Times New Roman"/>
          <w:sz w:val="24"/>
          <w:szCs w:val="24"/>
        </w:rPr>
        <w:t>n</w:t>
      </w:r>
      <w:r w:rsidR="001237DD">
        <w:rPr>
          <w:rFonts w:ascii="Times New Roman" w:hAnsi="Times New Roman"/>
          <w:sz w:val="24"/>
          <w:szCs w:val="24"/>
        </w:rPr>
        <w:t>etworth</w:t>
      </w:r>
      <w:proofErr w:type="spellEnd"/>
      <w:r w:rsidR="001237DD">
        <w:rPr>
          <w:rFonts w:ascii="Times New Roman" w:hAnsi="Times New Roman"/>
          <w:sz w:val="24"/>
          <w:szCs w:val="24"/>
        </w:rPr>
        <w:t xml:space="preserve"> of the Company or Rs.25</w:t>
      </w:r>
      <w:r w:rsidRPr="00912205">
        <w:rPr>
          <w:rFonts w:ascii="Times New Roman" w:hAnsi="Times New Roman"/>
          <w:sz w:val="24"/>
          <w:szCs w:val="24"/>
        </w:rPr>
        <w:t xml:space="preserve"> crores</w:t>
      </w:r>
      <w:r w:rsidR="00ED5293">
        <w:rPr>
          <w:rFonts w:ascii="Times New Roman" w:hAnsi="Times New Roman"/>
          <w:sz w:val="24"/>
          <w:szCs w:val="24"/>
        </w:rPr>
        <w:t>,</w:t>
      </w:r>
      <w:r w:rsidRPr="00912205">
        <w:rPr>
          <w:rFonts w:ascii="Times New Roman" w:hAnsi="Times New Roman"/>
          <w:sz w:val="24"/>
          <w:szCs w:val="24"/>
        </w:rPr>
        <w:t xml:space="preserve"> whichever is lower</w:t>
      </w:r>
    </w:p>
    <w:p w:rsidR="00F10DD5" w:rsidRPr="00912205" w:rsidRDefault="00F10DD5" w:rsidP="00587A7D">
      <w:pPr>
        <w:pStyle w:val="ListParagraph"/>
        <w:numPr>
          <w:ilvl w:val="0"/>
          <w:numId w:val="8"/>
        </w:numPr>
        <w:jc w:val="both"/>
        <w:rPr>
          <w:rFonts w:ascii="Times New Roman" w:hAnsi="Times New Roman"/>
          <w:sz w:val="24"/>
          <w:szCs w:val="24"/>
        </w:rPr>
      </w:pPr>
      <w:r w:rsidRPr="00912205">
        <w:rPr>
          <w:rFonts w:ascii="Times New Roman" w:hAnsi="Times New Roman"/>
          <w:sz w:val="24"/>
          <w:szCs w:val="24"/>
        </w:rPr>
        <w:t xml:space="preserve">Leasing of property of any kind exceeding 10% of the </w:t>
      </w:r>
      <w:proofErr w:type="spellStart"/>
      <w:r w:rsidRPr="00912205">
        <w:rPr>
          <w:rFonts w:ascii="Times New Roman" w:hAnsi="Times New Roman"/>
          <w:sz w:val="24"/>
          <w:szCs w:val="24"/>
        </w:rPr>
        <w:t>networth</w:t>
      </w:r>
      <w:proofErr w:type="spellEnd"/>
      <w:r w:rsidRPr="00912205">
        <w:rPr>
          <w:rFonts w:ascii="Times New Roman" w:hAnsi="Times New Roman"/>
          <w:sz w:val="24"/>
          <w:szCs w:val="24"/>
        </w:rPr>
        <w:t xml:space="preserve"> of the Company or 10% of the t</w:t>
      </w:r>
      <w:r w:rsidR="001237DD">
        <w:rPr>
          <w:rFonts w:ascii="Times New Roman" w:hAnsi="Times New Roman"/>
          <w:sz w:val="24"/>
          <w:szCs w:val="24"/>
        </w:rPr>
        <w:t>urnover of the Company or Rs.25</w:t>
      </w:r>
      <w:r w:rsidRPr="00912205">
        <w:rPr>
          <w:rFonts w:ascii="Times New Roman" w:hAnsi="Times New Roman"/>
          <w:sz w:val="24"/>
          <w:szCs w:val="24"/>
        </w:rPr>
        <w:t xml:space="preserve"> crores</w:t>
      </w:r>
      <w:r w:rsidR="00ED5293">
        <w:rPr>
          <w:rFonts w:ascii="Times New Roman" w:hAnsi="Times New Roman"/>
          <w:sz w:val="24"/>
          <w:szCs w:val="24"/>
        </w:rPr>
        <w:t>,</w:t>
      </w:r>
      <w:r w:rsidR="001237DD">
        <w:rPr>
          <w:rFonts w:ascii="Times New Roman" w:hAnsi="Times New Roman"/>
          <w:sz w:val="24"/>
          <w:szCs w:val="24"/>
        </w:rPr>
        <w:t xml:space="preserve"> whichever is lower.</w:t>
      </w:r>
    </w:p>
    <w:p w:rsidR="00F10DD5" w:rsidRPr="00912205" w:rsidRDefault="00F10DD5" w:rsidP="00587A7D">
      <w:pPr>
        <w:pStyle w:val="ListParagraph"/>
        <w:numPr>
          <w:ilvl w:val="0"/>
          <w:numId w:val="8"/>
        </w:numPr>
        <w:jc w:val="both"/>
        <w:rPr>
          <w:rFonts w:ascii="Times New Roman" w:hAnsi="Times New Roman"/>
          <w:sz w:val="24"/>
          <w:szCs w:val="24"/>
        </w:rPr>
      </w:pPr>
      <w:r w:rsidRPr="00912205">
        <w:rPr>
          <w:rFonts w:ascii="Times New Roman" w:hAnsi="Times New Roman"/>
          <w:sz w:val="24"/>
          <w:szCs w:val="24"/>
        </w:rPr>
        <w:t xml:space="preserve">Availing or rendering of any services, directly or through appointment of an agent exceeding 10% of the </w:t>
      </w:r>
      <w:r w:rsidR="00ED5293" w:rsidRPr="00912205">
        <w:rPr>
          <w:rFonts w:ascii="Times New Roman" w:hAnsi="Times New Roman"/>
          <w:sz w:val="24"/>
          <w:szCs w:val="24"/>
        </w:rPr>
        <w:t>turnover</w:t>
      </w:r>
      <w:r w:rsidR="001237DD">
        <w:rPr>
          <w:rFonts w:ascii="Times New Roman" w:hAnsi="Times New Roman"/>
          <w:sz w:val="24"/>
          <w:szCs w:val="24"/>
        </w:rPr>
        <w:t xml:space="preserve"> of the Company or Rs.25</w:t>
      </w:r>
      <w:r w:rsidRPr="00912205">
        <w:rPr>
          <w:rFonts w:ascii="Times New Roman" w:hAnsi="Times New Roman"/>
          <w:sz w:val="24"/>
          <w:szCs w:val="24"/>
        </w:rPr>
        <w:t xml:space="preserve"> crores</w:t>
      </w:r>
      <w:r w:rsidR="00ED5293">
        <w:rPr>
          <w:rFonts w:ascii="Times New Roman" w:hAnsi="Times New Roman"/>
          <w:sz w:val="24"/>
          <w:szCs w:val="24"/>
        </w:rPr>
        <w:t>,</w:t>
      </w:r>
      <w:r w:rsidRPr="00912205">
        <w:rPr>
          <w:rFonts w:ascii="Times New Roman" w:hAnsi="Times New Roman"/>
          <w:sz w:val="24"/>
          <w:szCs w:val="24"/>
        </w:rPr>
        <w:t xml:space="preserve"> whichever is lower;</w:t>
      </w:r>
    </w:p>
    <w:p w:rsidR="00F10DD5" w:rsidRPr="00912205" w:rsidRDefault="00F10DD5" w:rsidP="00587A7D">
      <w:pPr>
        <w:pStyle w:val="ListParagraph"/>
        <w:numPr>
          <w:ilvl w:val="0"/>
          <w:numId w:val="8"/>
        </w:numPr>
        <w:jc w:val="both"/>
        <w:rPr>
          <w:rFonts w:ascii="Times New Roman" w:hAnsi="Times New Roman"/>
          <w:sz w:val="24"/>
          <w:szCs w:val="24"/>
        </w:rPr>
      </w:pPr>
      <w:r w:rsidRPr="00912205">
        <w:rPr>
          <w:rFonts w:ascii="Times New Roman" w:hAnsi="Times New Roman"/>
          <w:sz w:val="24"/>
          <w:szCs w:val="24"/>
        </w:rPr>
        <w:t xml:space="preserve">Appointment to any office or place of profit in the Company, its subsidiary company or associate </w:t>
      </w:r>
      <w:proofErr w:type="gramStart"/>
      <w:r w:rsidRPr="00912205">
        <w:rPr>
          <w:rFonts w:ascii="Times New Roman" w:hAnsi="Times New Roman"/>
          <w:sz w:val="24"/>
          <w:szCs w:val="24"/>
        </w:rPr>
        <w:t>company</w:t>
      </w:r>
      <w:r w:rsidR="001237DD">
        <w:rPr>
          <w:rFonts w:ascii="Times New Roman" w:hAnsi="Times New Roman"/>
          <w:sz w:val="24"/>
          <w:szCs w:val="24"/>
        </w:rPr>
        <w:t>(</w:t>
      </w:r>
      <w:proofErr w:type="gramEnd"/>
      <w:r w:rsidR="001237DD">
        <w:rPr>
          <w:rFonts w:ascii="Times New Roman" w:hAnsi="Times New Roman"/>
          <w:sz w:val="24"/>
          <w:szCs w:val="24"/>
        </w:rPr>
        <w:t>as and when applicable)</w:t>
      </w:r>
      <w:r w:rsidRPr="00912205">
        <w:rPr>
          <w:rFonts w:ascii="Times New Roman" w:hAnsi="Times New Roman"/>
          <w:sz w:val="24"/>
          <w:szCs w:val="24"/>
        </w:rPr>
        <w:t xml:space="preserve"> at a monthly remuneration exceeding Rs.2,50,000.</w:t>
      </w:r>
    </w:p>
    <w:p w:rsidR="00F10DD5" w:rsidRPr="00912205" w:rsidRDefault="00F10DD5" w:rsidP="00587A7D">
      <w:pPr>
        <w:pStyle w:val="ListParagraph"/>
        <w:numPr>
          <w:ilvl w:val="0"/>
          <w:numId w:val="8"/>
        </w:numPr>
        <w:jc w:val="both"/>
        <w:rPr>
          <w:rFonts w:ascii="Times New Roman" w:hAnsi="Times New Roman"/>
          <w:sz w:val="24"/>
          <w:szCs w:val="24"/>
        </w:rPr>
      </w:pPr>
      <w:r w:rsidRPr="00912205">
        <w:rPr>
          <w:rFonts w:ascii="Times New Roman" w:hAnsi="Times New Roman"/>
          <w:sz w:val="24"/>
          <w:szCs w:val="24"/>
        </w:rPr>
        <w:t xml:space="preserve">Remuneration for underwriting the subscription of any securities or derivatives of the Company exceeding 1% of the </w:t>
      </w:r>
      <w:proofErr w:type="spellStart"/>
      <w:r w:rsidRPr="00912205">
        <w:rPr>
          <w:rFonts w:ascii="Times New Roman" w:hAnsi="Times New Roman"/>
          <w:sz w:val="24"/>
          <w:szCs w:val="24"/>
        </w:rPr>
        <w:t>networth</w:t>
      </w:r>
      <w:proofErr w:type="spellEnd"/>
      <w:r w:rsidRPr="00912205">
        <w:rPr>
          <w:rFonts w:ascii="Times New Roman" w:hAnsi="Times New Roman"/>
          <w:sz w:val="24"/>
          <w:szCs w:val="24"/>
        </w:rPr>
        <w:t xml:space="preserve"> of the Company.</w:t>
      </w:r>
    </w:p>
    <w:p w:rsidR="00F10DD5" w:rsidRPr="00912205" w:rsidRDefault="00F10DD5" w:rsidP="00DC1F43">
      <w:pPr>
        <w:jc w:val="both"/>
        <w:rPr>
          <w:rFonts w:ascii="Times New Roman" w:hAnsi="Times New Roman"/>
          <w:sz w:val="24"/>
          <w:szCs w:val="24"/>
        </w:rPr>
      </w:pPr>
    </w:p>
    <w:p w:rsidR="00F10DD5" w:rsidRPr="00912205" w:rsidRDefault="00F10DD5" w:rsidP="00587A7D">
      <w:pPr>
        <w:ind w:left="1080"/>
        <w:jc w:val="both"/>
        <w:rPr>
          <w:rFonts w:ascii="Times New Roman" w:hAnsi="Times New Roman"/>
          <w:sz w:val="24"/>
          <w:szCs w:val="24"/>
        </w:rPr>
      </w:pPr>
      <w:r w:rsidRPr="00912205">
        <w:rPr>
          <w:rFonts w:ascii="Times New Roman" w:hAnsi="Times New Roman"/>
          <w:sz w:val="24"/>
          <w:szCs w:val="24"/>
        </w:rPr>
        <w:t xml:space="preserve">The Turnover/ </w:t>
      </w:r>
      <w:proofErr w:type="spellStart"/>
      <w:r w:rsidRPr="00912205">
        <w:rPr>
          <w:rFonts w:ascii="Times New Roman" w:hAnsi="Times New Roman"/>
          <w:sz w:val="24"/>
          <w:szCs w:val="24"/>
        </w:rPr>
        <w:t>Networth</w:t>
      </w:r>
      <w:proofErr w:type="spellEnd"/>
      <w:r w:rsidRPr="00912205">
        <w:rPr>
          <w:rFonts w:ascii="Times New Roman" w:hAnsi="Times New Roman"/>
          <w:sz w:val="24"/>
          <w:szCs w:val="24"/>
        </w:rPr>
        <w:t xml:space="preserve"> referred in this clause shall be computed on the basis of Audited Financial statement of the Company in the preceding financial year.</w:t>
      </w:r>
    </w:p>
    <w:p w:rsidR="00587A7D" w:rsidRPr="00912205" w:rsidRDefault="00587A7D" w:rsidP="00587A7D">
      <w:pPr>
        <w:ind w:left="1080"/>
        <w:jc w:val="both"/>
        <w:rPr>
          <w:rFonts w:ascii="Times New Roman" w:hAnsi="Times New Roman"/>
          <w:sz w:val="24"/>
          <w:szCs w:val="24"/>
        </w:rPr>
      </w:pPr>
    </w:p>
    <w:p w:rsidR="00587A7D" w:rsidRPr="00912205" w:rsidRDefault="00587A7D" w:rsidP="00587A7D">
      <w:pPr>
        <w:ind w:left="1080"/>
        <w:jc w:val="both"/>
        <w:rPr>
          <w:rFonts w:ascii="Times New Roman" w:hAnsi="Times New Roman"/>
          <w:sz w:val="24"/>
          <w:szCs w:val="24"/>
        </w:rPr>
      </w:pPr>
      <w:r w:rsidRPr="00912205">
        <w:rPr>
          <w:rFonts w:ascii="Times New Roman" w:hAnsi="Times New Roman"/>
          <w:sz w:val="24"/>
          <w:szCs w:val="24"/>
        </w:rPr>
        <w:t>The limits specified in sub-clause (i) to (</w:t>
      </w:r>
      <w:proofErr w:type="gramStart"/>
      <w:r w:rsidRPr="00912205">
        <w:rPr>
          <w:rFonts w:ascii="Times New Roman" w:hAnsi="Times New Roman"/>
          <w:sz w:val="24"/>
          <w:szCs w:val="24"/>
        </w:rPr>
        <w:t>iv</w:t>
      </w:r>
      <w:proofErr w:type="gramEnd"/>
      <w:r w:rsidRPr="00912205">
        <w:rPr>
          <w:rFonts w:ascii="Times New Roman" w:hAnsi="Times New Roman"/>
          <w:sz w:val="24"/>
          <w:szCs w:val="24"/>
        </w:rPr>
        <w:t xml:space="preserve">) </w:t>
      </w:r>
      <w:r w:rsidR="00A21796" w:rsidRPr="00912205">
        <w:rPr>
          <w:rFonts w:ascii="Times New Roman" w:hAnsi="Times New Roman"/>
          <w:sz w:val="24"/>
          <w:szCs w:val="24"/>
        </w:rPr>
        <w:t xml:space="preserve">above </w:t>
      </w:r>
      <w:r w:rsidRPr="00912205">
        <w:rPr>
          <w:rFonts w:ascii="Times New Roman" w:hAnsi="Times New Roman"/>
          <w:sz w:val="24"/>
          <w:szCs w:val="24"/>
        </w:rPr>
        <w:t>shall apply for the transaction(s) during a financial year, either individually or taken together.</w:t>
      </w:r>
    </w:p>
    <w:p w:rsidR="00F10DD5" w:rsidRPr="00912205" w:rsidRDefault="00F10DD5" w:rsidP="00DC1F43">
      <w:pPr>
        <w:jc w:val="both"/>
        <w:rPr>
          <w:rFonts w:ascii="Times New Roman" w:hAnsi="Times New Roman"/>
          <w:sz w:val="24"/>
          <w:szCs w:val="24"/>
        </w:rPr>
      </w:pPr>
    </w:p>
    <w:p w:rsidR="00FD55FD" w:rsidRPr="00912205" w:rsidRDefault="00FD55FD" w:rsidP="008A7AD4">
      <w:pPr>
        <w:pStyle w:val="ListParagraph"/>
        <w:numPr>
          <w:ilvl w:val="0"/>
          <w:numId w:val="2"/>
        </w:numPr>
        <w:jc w:val="both"/>
        <w:rPr>
          <w:rFonts w:ascii="Times New Roman" w:hAnsi="Times New Roman"/>
          <w:b/>
          <w:sz w:val="24"/>
          <w:szCs w:val="24"/>
        </w:rPr>
      </w:pPr>
      <w:r w:rsidRPr="00912205">
        <w:rPr>
          <w:rFonts w:ascii="Times New Roman" w:hAnsi="Times New Roman"/>
          <w:b/>
          <w:sz w:val="24"/>
          <w:szCs w:val="24"/>
        </w:rPr>
        <w:t>Review and Approval of Related Party Transactions</w:t>
      </w:r>
    </w:p>
    <w:p w:rsidR="00FD55FD" w:rsidRPr="00912205" w:rsidRDefault="00FD55FD" w:rsidP="008A7AD4">
      <w:pPr>
        <w:jc w:val="both"/>
        <w:rPr>
          <w:rFonts w:ascii="Times New Roman" w:hAnsi="Times New Roman"/>
          <w:sz w:val="24"/>
          <w:szCs w:val="24"/>
        </w:rPr>
      </w:pPr>
    </w:p>
    <w:p w:rsidR="00FD55FD" w:rsidRPr="00912205" w:rsidRDefault="00FD55FD" w:rsidP="008A7AD4">
      <w:pPr>
        <w:ind w:left="1080"/>
        <w:jc w:val="both"/>
        <w:rPr>
          <w:rFonts w:ascii="Times New Roman" w:hAnsi="Times New Roman"/>
          <w:sz w:val="24"/>
          <w:szCs w:val="24"/>
        </w:rPr>
      </w:pPr>
      <w:r w:rsidRPr="00912205">
        <w:rPr>
          <w:rFonts w:ascii="Times New Roman" w:hAnsi="Times New Roman"/>
          <w:sz w:val="24"/>
          <w:szCs w:val="24"/>
        </w:rPr>
        <w:t xml:space="preserve">Related Party Transactions will be reported to the Audit Committee for review and approval. Any member of the Committee who has a potential interest in any Related Party Transaction </w:t>
      </w:r>
      <w:r w:rsidRPr="00F225CB">
        <w:rPr>
          <w:rFonts w:ascii="Times New Roman" w:hAnsi="Times New Roman"/>
          <w:sz w:val="24"/>
          <w:szCs w:val="24"/>
          <w:highlight w:val="yellow"/>
        </w:rPr>
        <w:t xml:space="preserve">will </w:t>
      </w:r>
      <w:r w:rsidR="008768D4" w:rsidRPr="00F225CB">
        <w:rPr>
          <w:rFonts w:ascii="Times New Roman" w:hAnsi="Times New Roman"/>
          <w:sz w:val="24"/>
          <w:szCs w:val="24"/>
          <w:highlight w:val="yellow"/>
        </w:rPr>
        <w:t>recues</w:t>
      </w:r>
      <w:r w:rsidRPr="00912205">
        <w:rPr>
          <w:rFonts w:ascii="Times New Roman" w:hAnsi="Times New Roman"/>
          <w:sz w:val="24"/>
          <w:szCs w:val="24"/>
        </w:rPr>
        <w:t xml:space="preserve"> himself/herself and </w:t>
      </w:r>
      <w:r w:rsidR="00F225CB" w:rsidRPr="00912205">
        <w:rPr>
          <w:rFonts w:ascii="Times New Roman" w:hAnsi="Times New Roman"/>
          <w:sz w:val="24"/>
          <w:szCs w:val="24"/>
        </w:rPr>
        <w:t>abstains</w:t>
      </w:r>
      <w:r w:rsidRPr="00912205">
        <w:rPr>
          <w:rFonts w:ascii="Times New Roman" w:hAnsi="Times New Roman"/>
          <w:sz w:val="24"/>
          <w:szCs w:val="24"/>
        </w:rPr>
        <w:t xml:space="preserve"> from a discussion and voting on the approval of the Related Party Transaction(s).</w:t>
      </w:r>
    </w:p>
    <w:p w:rsidR="00FD55FD" w:rsidRPr="00912205" w:rsidRDefault="00FD55FD" w:rsidP="008A7AD4">
      <w:pPr>
        <w:ind w:left="1080"/>
        <w:jc w:val="both"/>
        <w:rPr>
          <w:rFonts w:ascii="Times New Roman" w:hAnsi="Times New Roman"/>
          <w:sz w:val="24"/>
          <w:szCs w:val="24"/>
        </w:rPr>
      </w:pPr>
    </w:p>
    <w:p w:rsidR="00FD55FD" w:rsidRPr="00912205" w:rsidRDefault="00FD55FD" w:rsidP="008A7AD4">
      <w:pPr>
        <w:ind w:left="1080"/>
        <w:jc w:val="both"/>
        <w:rPr>
          <w:rFonts w:ascii="Times New Roman" w:hAnsi="Times New Roman"/>
          <w:sz w:val="24"/>
          <w:szCs w:val="24"/>
        </w:rPr>
      </w:pPr>
      <w:r w:rsidRPr="00912205">
        <w:rPr>
          <w:rFonts w:ascii="Times New Roman" w:hAnsi="Times New Roman"/>
          <w:sz w:val="24"/>
          <w:szCs w:val="24"/>
        </w:rPr>
        <w:t>The Audit Committee shall be provided with the material facts of such Related Party Transactions and the Audit Committee will determine whether to approve such Related Party Transactions or not.</w:t>
      </w:r>
    </w:p>
    <w:p w:rsidR="00FD55FD" w:rsidRPr="00912205" w:rsidRDefault="00FD55FD" w:rsidP="008A7AD4">
      <w:pPr>
        <w:ind w:left="1080"/>
        <w:jc w:val="both"/>
        <w:rPr>
          <w:rFonts w:ascii="Times New Roman" w:hAnsi="Times New Roman"/>
          <w:sz w:val="24"/>
          <w:szCs w:val="24"/>
        </w:rPr>
      </w:pPr>
    </w:p>
    <w:p w:rsidR="00FD55FD" w:rsidRPr="00912205" w:rsidRDefault="00FD55FD" w:rsidP="008A7AD4">
      <w:pPr>
        <w:ind w:left="1080"/>
        <w:jc w:val="both"/>
        <w:rPr>
          <w:rFonts w:ascii="Times New Roman" w:hAnsi="Times New Roman"/>
          <w:sz w:val="24"/>
          <w:szCs w:val="24"/>
        </w:rPr>
      </w:pPr>
      <w:r w:rsidRPr="00912205">
        <w:rPr>
          <w:rFonts w:ascii="Times New Roman" w:hAnsi="Times New Roman"/>
          <w:sz w:val="24"/>
          <w:szCs w:val="24"/>
        </w:rPr>
        <w:t>In assessing a Related Party Transaction, the Audit Committee shall consider such factors as it deems appropriate, including without limitation –</w:t>
      </w:r>
    </w:p>
    <w:p w:rsidR="00FD55FD" w:rsidRPr="00912205" w:rsidRDefault="00FD55FD" w:rsidP="00116455">
      <w:pPr>
        <w:pStyle w:val="ListParagraph"/>
        <w:numPr>
          <w:ilvl w:val="0"/>
          <w:numId w:val="6"/>
        </w:numPr>
        <w:spacing w:before="240" w:after="240"/>
        <w:contextualSpacing w:val="0"/>
        <w:jc w:val="both"/>
        <w:rPr>
          <w:rFonts w:ascii="Times New Roman" w:hAnsi="Times New Roman"/>
          <w:sz w:val="24"/>
          <w:szCs w:val="24"/>
        </w:rPr>
      </w:pPr>
      <w:r w:rsidRPr="00912205">
        <w:rPr>
          <w:rFonts w:ascii="Times New Roman" w:hAnsi="Times New Roman"/>
          <w:sz w:val="24"/>
          <w:szCs w:val="24"/>
        </w:rPr>
        <w:t xml:space="preserve">the business reasons for the Company to enter into the Related Party Transaction; </w:t>
      </w:r>
    </w:p>
    <w:p w:rsidR="00FD55FD" w:rsidRPr="00912205" w:rsidRDefault="00FD55FD" w:rsidP="00116455">
      <w:pPr>
        <w:pStyle w:val="ListParagraph"/>
        <w:numPr>
          <w:ilvl w:val="0"/>
          <w:numId w:val="6"/>
        </w:numPr>
        <w:spacing w:before="240" w:after="240"/>
        <w:contextualSpacing w:val="0"/>
        <w:jc w:val="both"/>
        <w:rPr>
          <w:rFonts w:ascii="Times New Roman" w:hAnsi="Times New Roman"/>
          <w:sz w:val="24"/>
          <w:szCs w:val="24"/>
        </w:rPr>
      </w:pPr>
      <w:r w:rsidRPr="00912205">
        <w:rPr>
          <w:rFonts w:ascii="Times New Roman" w:hAnsi="Times New Roman"/>
          <w:sz w:val="24"/>
          <w:szCs w:val="24"/>
        </w:rPr>
        <w:t xml:space="preserve">the commercial reasonableness of the terms of the Related Party Transaction; </w:t>
      </w:r>
    </w:p>
    <w:p w:rsidR="00FD55FD" w:rsidRPr="00912205" w:rsidRDefault="00FD55FD" w:rsidP="00116455">
      <w:pPr>
        <w:pStyle w:val="ListParagraph"/>
        <w:numPr>
          <w:ilvl w:val="0"/>
          <w:numId w:val="6"/>
        </w:numPr>
        <w:spacing w:before="240" w:after="240"/>
        <w:contextualSpacing w:val="0"/>
        <w:jc w:val="both"/>
        <w:rPr>
          <w:rFonts w:ascii="Times New Roman" w:hAnsi="Times New Roman"/>
          <w:sz w:val="24"/>
          <w:szCs w:val="24"/>
        </w:rPr>
      </w:pPr>
      <w:r w:rsidRPr="00912205">
        <w:rPr>
          <w:rFonts w:ascii="Times New Roman" w:hAnsi="Times New Roman"/>
          <w:sz w:val="24"/>
          <w:szCs w:val="24"/>
        </w:rPr>
        <w:t xml:space="preserve">the materiality of the Related Party Transaction to the Company; </w:t>
      </w:r>
    </w:p>
    <w:p w:rsidR="00FD55FD" w:rsidRPr="00912205" w:rsidRDefault="00FD55FD" w:rsidP="00116455">
      <w:pPr>
        <w:pStyle w:val="ListParagraph"/>
        <w:numPr>
          <w:ilvl w:val="0"/>
          <w:numId w:val="6"/>
        </w:numPr>
        <w:spacing w:before="240" w:after="240"/>
        <w:contextualSpacing w:val="0"/>
        <w:jc w:val="both"/>
        <w:rPr>
          <w:rFonts w:ascii="Times New Roman" w:hAnsi="Times New Roman"/>
          <w:sz w:val="24"/>
          <w:szCs w:val="24"/>
        </w:rPr>
      </w:pPr>
      <w:r w:rsidRPr="00912205">
        <w:rPr>
          <w:rFonts w:ascii="Times New Roman" w:hAnsi="Times New Roman"/>
          <w:sz w:val="24"/>
          <w:szCs w:val="24"/>
        </w:rPr>
        <w:t xml:space="preserve">whether the terms of the Related Party Transaction are fair to the Company and on the same basis as would apply if the transaction did not involve a Related Party; and </w:t>
      </w:r>
    </w:p>
    <w:p w:rsidR="00FD55FD" w:rsidRPr="00912205" w:rsidRDefault="00FD55FD" w:rsidP="00116455">
      <w:pPr>
        <w:pStyle w:val="ListParagraph"/>
        <w:numPr>
          <w:ilvl w:val="0"/>
          <w:numId w:val="6"/>
        </w:numPr>
        <w:spacing w:before="240" w:after="240"/>
        <w:contextualSpacing w:val="0"/>
        <w:jc w:val="both"/>
        <w:rPr>
          <w:rFonts w:ascii="Times New Roman" w:hAnsi="Times New Roman"/>
          <w:sz w:val="24"/>
          <w:szCs w:val="24"/>
        </w:rPr>
      </w:pPr>
      <w:r w:rsidRPr="00912205">
        <w:rPr>
          <w:rFonts w:ascii="Times New Roman" w:hAnsi="Times New Roman"/>
          <w:sz w:val="24"/>
          <w:szCs w:val="24"/>
        </w:rPr>
        <w:t xml:space="preserve">the extent of the Related Party’s interest in the Related Party Transaction. </w:t>
      </w:r>
    </w:p>
    <w:p w:rsidR="00FD55FD" w:rsidRPr="00912205" w:rsidRDefault="00FD55FD" w:rsidP="008A7AD4">
      <w:pPr>
        <w:jc w:val="both"/>
        <w:rPr>
          <w:rFonts w:ascii="Times New Roman" w:hAnsi="Times New Roman"/>
          <w:sz w:val="24"/>
          <w:szCs w:val="24"/>
        </w:rPr>
      </w:pPr>
    </w:p>
    <w:p w:rsidR="00FD55FD" w:rsidRPr="00912205" w:rsidRDefault="00FD55FD" w:rsidP="008A7AD4">
      <w:pPr>
        <w:ind w:left="1080"/>
        <w:jc w:val="both"/>
        <w:rPr>
          <w:rFonts w:ascii="Times New Roman" w:hAnsi="Times New Roman"/>
          <w:sz w:val="24"/>
          <w:szCs w:val="24"/>
        </w:rPr>
      </w:pPr>
      <w:r w:rsidRPr="00912205">
        <w:rPr>
          <w:rFonts w:ascii="Times New Roman" w:hAnsi="Times New Roman"/>
          <w:sz w:val="24"/>
          <w:szCs w:val="24"/>
        </w:rPr>
        <w:t xml:space="preserve">The following Related Party Transactions shall not require </w:t>
      </w:r>
      <w:r w:rsidR="00D7031A">
        <w:rPr>
          <w:rFonts w:ascii="Times New Roman" w:hAnsi="Times New Roman"/>
          <w:sz w:val="24"/>
          <w:szCs w:val="24"/>
        </w:rPr>
        <w:t xml:space="preserve">prior </w:t>
      </w:r>
      <w:r w:rsidRPr="00912205">
        <w:rPr>
          <w:rFonts w:ascii="Times New Roman" w:hAnsi="Times New Roman"/>
          <w:sz w:val="24"/>
          <w:szCs w:val="24"/>
        </w:rPr>
        <w:t>approval of Audit Committee or Shareholders:</w:t>
      </w:r>
    </w:p>
    <w:p w:rsidR="00FD55FD" w:rsidRPr="00912205" w:rsidRDefault="00FD55FD" w:rsidP="008A7AD4">
      <w:pPr>
        <w:jc w:val="both"/>
        <w:rPr>
          <w:rFonts w:ascii="Times New Roman" w:hAnsi="Times New Roman"/>
          <w:sz w:val="24"/>
          <w:szCs w:val="24"/>
        </w:rPr>
      </w:pPr>
    </w:p>
    <w:p w:rsidR="00FD55FD" w:rsidRPr="00912205" w:rsidRDefault="00FD55FD" w:rsidP="008A7AD4">
      <w:pPr>
        <w:ind w:left="1800" w:hanging="360"/>
        <w:jc w:val="both"/>
        <w:rPr>
          <w:rFonts w:ascii="Times New Roman" w:hAnsi="Times New Roman"/>
          <w:sz w:val="24"/>
          <w:szCs w:val="24"/>
        </w:rPr>
      </w:pPr>
      <w:r w:rsidRPr="00912205">
        <w:rPr>
          <w:rFonts w:ascii="Times New Roman" w:hAnsi="Times New Roman"/>
          <w:sz w:val="24"/>
          <w:szCs w:val="24"/>
        </w:rPr>
        <w:t xml:space="preserve">i. </w:t>
      </w:r>
      <w:r w:rsidRPr="00912205">
        <w:rPr>
          <w:rFonts w:ascii="Times New Roman" w:hAnsi="Times New Roman"/>
          <w:sz w:val="24"/>
          <w:szCs w:val="24"/>
        </w:rPr>
        <w:tab/>
        <w:t>Any transaction that involves the providing of compensation to a director or Key Managerial Personnel in connection with his or her duties to the Company or any of its subsidiaries or associates, including the reimbursement of reasonable business and travel expenses incurred in the ordinary course of business.</w:t>
      </w:r>
      <w:bookmarkStart w:id="0" w:name="_GoBack"/>
      <w:bookmarkEnd w:id="0"/>
    </w:p>
    <w:p w:rsidR="00FD55FD" w:rsidRPr="00912205" w:rsidRDefault="00FD55FD" w:rsidP="008A7AD4">
      <w:pPr>
        <w:ind w:left="1440"/>
        <w:jc w:val="both"/>
        <w:rPr>
          <w:rFonts w:ascii="Times New Roman" w:hAnsi="Times New Roman"/>
          <w:sz w:val="24"/>
          <w:szCs w:val="24"/>
        </w:rPr>
      </w:pPr>
    </w:p>
    <w:p w:rsidR="000241E2" w:rsidRDefault="00FD55FD" w:rsidP="00720935">
      <w:pPr>
        <w:ind w:left="1800" w:hanging="360"/>
        <w:jc w:val="both"/>
        <w:rPr>
          <w:rFonts w:ascii="Times New Roman" w:hAnsi="Times New Roman"/>
          <w:sz w:val="24"/>
          <w:szCs w:val="24"/>
        </w:rPr>
      </w:pPr>
      <w:r w:rsidRPr="00011054">
        <w:rPr>
          <w:rFonts w:ascii="Times New Roman" w:hAnsi="Times New Roman"/>
          <w:sz w:val="24"/>
          <w:szCs w:val="24"/>
        </w:rPr>
        <w:t xml:space="preserve">ii. </w:t>
      </w:r>
      <w:r w:rsidRPr="00011054">
        <w:rPr>
          <w:rFonts w:ascii="Times New Roman" w:hAnsi="Times New Roman"/>
          <w:sz w:val="24"/>
          <w:szCs w:val="24"/>
        </w:rPr>
        <w:tab/>
        <w:t>Any transaction in which the Related Party’s interest arises solely from ownership of securities issued by the Company and all holders of such securities receive the same benefits pro rata as the Related Party.</w:t>
      </w:r>
    </w:p>
    <w:p w:rsidR="00D7031A" w:rsidRDefault="00D7031A" w:rsidP="00720935">
      <w:pPr>
        <w:ind w:left="1800" w:hanging="360"/>
        <w:jc w:val="both"/>
        <w:rPr>
          <w:rFonts w:ascii="Times New Roman" w:hAnsi="Times New Roman"/>
          <w:sz w:val="24"/>
          <w:szCs w:val="24"/>
        </w:rPr>
      </w:pPr>
    </w:p>
    <w:p w:rsidR="00C27FB1" w:rsidRPr="00912205" w:rsidRDefault="00C27FB1" w:rsidP="008A7AD4">
      <w:pPr>
        <w:jc w:val="both"/>
        <w:rPr>
          <w:rFonts w:ascii="Times New Roman" w:hAnsi="Times New Roman"/>
          <w:sz w:val="24"/>
          <w:szCs w:val="24"/>
        </w:rPr>
      </w:pPr>
      <w:r w:rsidRPr="00011054">
        <w:rPr>
          <w:rFonts w:ascii="Times New Roman" w:hAnsi="Times New Roman"/>
          <w:b/>
          <w:sz w:val="24"/>
          <w:szCs w:val="24"/>
        </w:rPr>
        <w:t>Mechanism for determining Ordinary course of business</w:t>
      </w:r>
      <w:r w:rsidR="005E4702" w:rsidRPr="00011054">
        <w:rPr>
          <w:rFonts w:ascii="Times New Roman" w:hAnsi="Times New Roman"/>
          <w:b/>
          <w:sz w:val="24"/>
          <w:szCs w:val="24"/>
        </w:rPr>
        <w:t xml:space="preserve"> and Arm</w:t>
      </w:r>
      <w:r w:rsidR="00FB5D56" w:rsidRPr="00011054">
        <w:rPr>
          <w:rFonts w:ascii="Times New Roman" w:hAnsi="Times New Roman"/>
          <w:b/>
          <w:sz w:val="24"/>
          <w:szCs w:val="24"/>
        </w:rPr>
        <w:t>’</w:t>
      </w:r>
      <w:r w:rsidR="005E4702" w:rsidRPr="00011054">
        <w:rPr>
          <w:rFonts w:ascii="Times New Roman" w:hAnsi="Times New Roman"/>
          <w:b/>
          <w:sz w:val="24"/>
          <w:szCs w:val="24"/>
        </w:rPr>
        <w:t>s length basis</w:t>
      </w:r>
      <w:r w:rsidRPr="00912205">
        <w:rPr>
          <w:rFonts w:ascii="Times New Roman" w:hAnsi="Times New Roman"/>
          <w:sz w:val="24"/>
          <w:szCs w:val="24"/>
        </w:rPr>
        <w:t>:</w:t>
      </w:r>
    </w:p>
    <w:p w:rsidR="00C27FB1" w:rsidRDefault="00C27FB1" w:rsidP="008A7AD4">
      <w:pPr>
        <w:jc w:val="both"/>
        <w:rPr>
          <w:rFonts w:ascii="Times New Roman" w:hAnsi="Times New Roman"/>
          <w:sz w:val="24"/>
          <w:szCs w:val="24"/>
        </w:rPr>
      </w:pPr>
    </w:p>
    <w:p w:rsidR="000241E2" w:rsidRDefault="000241E2" w:rsidP="008A7AD4">
      <w:pPr>
        <w:jc w:val="both"/>
        <w:rPr>
          <w:rFonts w:ascii="Times New Roman" w:hAnsi="Times New Roman"/>
          <w:sz w:val="24"/>
          <w:szCs w:val="24"/>
        </w:rPr>
      </w:pPr>
      <w:r>
        <w:rPr>
          <w:rFonts w:ascii="Times New Roman" w:hAnsi="Times New Roman"/>
          <w:sz w:val="24"/>
          <w:szCs w:val="24"/>
        </w:rPr>
        <w:t>The following guidelines will be used to determine whether a transaction with Related Party is in ordinary course and on Arm’s length basis:</w:t>
      </w:r>
    </w:p>
    <w:p w:rsidR="000241E2" w:rsidRPr="00912205" w:rsidRDefault="000241E2" w:rsidP="008A7AD4">
      <w:pPr>
        <w:jc w:val="both"/>
        <w:rPr>
          <w:rFonts w:ascii="Times New Roman" w:hAnsi="Times New Roman"/>
          <w:sz w:val="24"/>
          <w:szCs w:val="24"/>
        </w:rPr>
      </w:pPr>
    </w:p>
    <w:p w:rsidR="000241E2" w:rsidRPr="00011054" w:rsidRDefault="000241E2" w:rsidP="008A7AD4">
      <w:pPr>
        <w:jc w:val="both"/>
        <w:rPr>
          <w:rFonts w:ascii="Times New Roman" w:hAnsi="Times New Roman"/>
          <w:b/>
          <w:color w:val="000000"/>
          <w:sz w:val="24"/>
          <w:szCs w:val="24"/>
        </w:rPr>
      </w:pPr>
      <w:r w:rsidRPr="00011054">
        <w:rPr>
          <w:rFonts w:ascii="Times New Roman" w:hAnsi="Times New Roman"/>
          <w:b/>
          <w:color w:val="000000"/>
          <w:sz w:val="24"/>
          <w:szCs w:val="24"/>
        </w:rPr>
        <w:t>Ordinary Course of Business:</w:t>
      </w:r>
    </w:p>
    <w:p w:rsidR="000241E2" w:rsidRDefault="000241E2" w:rsidP="008A7AD4">
      <w:pPr>
        <w:jc w:val="both"/>
        <w:rPr>
          <w:rFonts w:ascii="Times New Roman" w:hAnsi="Times New Roman"/>
          <w:color w:val="000000"/>
          <w:sz w:val="24"/>
          <w:szCs w:val="24"/>
        </w:rPr>
      </w:pPr>
    </w:p>
    <w:p w:rsidR="001E3507" w:rsidRPr="00D146C6" w:rsidRDefault="000A522F" w:rsidP="008A7AD4">
      <w:pPr>
        <w:jc w:val="both"/>
      </w:pPr>
      <w:r w:rsidRPr="00912205">
        <w:rPr>
          <w:rFonts w:ascii="Times New Roman" w:hAnsi="Times New Roman"/>
          <w:color w:val="000000"/>
          <w:sz w:val="24"/>
          <w:szCs w:val="24"/>
        </w:rPr>
        <w:t xml:space="preserve">All transactions or </w:t>
      </w:r>
      <w:hyperlink r:id="rId7" w:history="1">
        <w:r w:rsidRPr="00912205">
          <w:rPr>
            <w:rStyle w:val="Hyperlink"/>
            <w:rFonts w:ascii="Times New Roman" w:hAnsi="Times New Roman"/>
            <w:sz w:val="24"/>
            <w:szCs w:val="24"/>
          </w:rPr>
          <w:t>activities</w:t>
        </w:r>
      </w:hyperlink>
      <w:r w:rsidRPr="00912205">
        <w:rPr>
          <w:rFonts w:ascii="Times New Roman" w:hAnsi="Times New Roman"/>
          <w:color w:val="000000"/>
          <w:sz w:val="24"/>
          <w:szCs w:val="24"/>
        </w:rPr>
        <w:t xml:space="preserve"> that are necessary, normal and incidental to the </w:t>
      </w:r>
      <w:hyperlink r:id="rId8" w:history="1">
        <w:r w:rsidRPr="00912205">
          <w:rPr>
            <w:rStyle w:val="Hyperlink"/>
            <w:rFonts w:ascii="Times New Roman" w:hAnsi="Times New Roman"/>
            <w:sz w:val="24"/>
            <w:szCs w:val="24"/>
          </w:rPr>
          <w:t>business</w:t>
        </w:r>
      </w:hyperlink>
      <w:r w:rsidR="005E4702" w:rsidRPr="00912205">
        <w:rPr>
          <w:rFonts w:ascii="Times New Roman" w:hAnsi="Times New Roman"/>
          <w:color w:val="000000"/>
          <w:sz w:val="24"/>
          <w:szCs w:val="24"/>
        </w:rPr>
        <w:t xml:space="preserve"> of the Compa</w:t>
      </w:r>
      <w:r w:rsidR="005E4702" w:rsidRPr="00D146C6">
        <w:rPr>
          <w:rFonts w:ascii="Times New Roman" w:hAnsi="Times New Roman"/>
          <w:sz w:val="24"/>
          <w:szCs w:val="24"/>
        </w:rPr>
        <w:t>ny</w:t>
      </w:r>
      <w:r w:rsidR="000241E2" w:rsidRPr="00D146C6">
        <w:rPr>
          <w:rFonts w:ascii="Times New Roman" w:hAnsi="Times New Roman"/>
          <w:sz w:val="24"/>
          <w:szCs w:val="24"/>
        </w:rPr>
        <w:t>, the objects of the Company permit such activity</w:t>
      </w:r>
      <w:r w:rsidRPr="00D146C6">
        <w:rPr>
          <w:rFonts w:ascii="Times New Roman" w:hAnsi="Times New Roman"/>
          <w:sz w:val="24"/>
          <w:szCs w:val="24"/>
        </w:rPr>
        <w:t xml:space="preserve"> shall be deemed to be in the ordinary course of business. These may also be</w:t>
      </w:r>
      <w:r w:rsidR="00AC006B" w:rsidRPr="00D146C6">
        <w:rPr>
          <w:rFonts w:ascii="Times New Roman" w:hAnsi="Times New Roman"/>
          <w:sz w:val="24"/>
          <w:szCs w:val="24"/>
        </w:rPr>
        <w:t xml:space="preserve"> </w:t>
      </w:r>
      <w:hyperlink r:id="rId9" w:history="1">
        <w:r w:rsidRPr="00D146C6">
          <w:rPr>
            <w:rStyle w:val="Hyperlink"/>
            <w:rFonts w:ascii="Times New Roman" w:hAnsi="Times New Roman"/>
            <w:color w:val="auto"/>
            <w:sz w:val="24"/>
            <w:szCs w:val="24"/>
          </w:rPr>
          <w:t>common</w:t>
        </w:r>
      </w:hyperlink>
      <w:r w:rsidR="00AC006B" w:rsidRPr="00D146C6">
        <w:t xml:space="preserve"> </w:t>
      </w:r>
      <w:hyperlink r:id="rId10" w:history="1">
        <w:r w:rsidRPr="00D146C6">
          <w:rPr>
            <w:rStyle w:val="Hyperlink"/>
            <w:rFonts w:ascii="Times New Roman" w:hAnsi="Times New Roman"/>
            <w:color w:val="auto"/>
            <w:sz w:val="24"/>
            <w:szCs w:val="24"/>
          </w:rPr>
          <w:t>practices</w:t>
        </w:r>
      </w:hyperlink>
      <w:r w:rsidR="000241E2" w:rsidRPr="00D146C6">
        <w:t xml:space="preserve">, historical practices </w:t>
      </w:r>
      <w:r w:rsidRPr="00D146C6">
        <w:rPr>
          <w:rFonts w:ascii="Times New Roman" w:hAnsi="Times New Roman"/>
          <w:sz w:val="24"/>
          <w:szCs w:val="24"/>
        </w:rPr>
        <w:t xml:space="preserve">and </w:t>
      </w:r>
      <w:hyperlink r:id="rId11" w:history="1">
        <w:r w:rsidRPr="00D146C6">
          <w:rPr>
            <w:rStyle w:val="Hyperlink"/>
            <w:rFonts w:ascii="Times New Roman" w:hAnsi="Times New Roman"/>
            <w:color w:val="auto"/>
            <w:sz w:val="24"/>
            <w:szCs w:val="24"/>
          </w:rPr>
          <w:t>customs</w:t>
        </w:r>
      </w:hyperlink>
      <w:r w:rsidR="00AC006B" w:rsidRPr="00D146C6">
        <w:t xml:space="preserve"> </w:t>
      </w:r>
      <w:r w:rsidR="008C65EE" w:rsidRPr="00D146C6">
        <w:rPr>
          <w:rFonts w:ascii="Times New Roman" w:hAnsi="Times New Roman"/>
          <w:sz w:val="24"/>
          <w:szCs w:val="24"/>
        </w:rPr>
        <w:t>of</w:t>
      </w:r>
      <w:r w:rsidR="00AC006B" w:rsidRPr="00D146C6">
        <w:rPr>
          <w:rFonts w:ascii="Times New Roman" w:hAnsi="Times New Roman"/>
          <w:sz w:val="24"/>
          <w:szCs w:val="24"/>
        </w:rPr>
        <w:t xml:space="preserve"> </w:t>
      </w:r>
      <w:hyperlink r:id="rId12" w:history="1">
        <w:r w:rsidR="008C65EE" w:rsidRPr="00D146C6">
          <w:rPr>
            <w:rStyle w:val="Hyperlink"/>
            <w:rFonts w:ascii="Times New Roman" w:hAnsi="Times New Roman"/>
            <w:color w:val="auto"/>
            <w:sz w:val="24"/>
            <w:szCs w:val="24"/>
          </w:rPr>
          <w:t>commercial</w:t>
        </w:r>
        <w:r w:rsidR="00AC006B" w:rsidRPr="00D146C6">
          <w:rPr>
            <w:rStyle w:val="Hyperlink"/>
            <w:rFonts w:ascii="Times New Roman" w:hAnsi="Times New Roman"/>
            <w:color w:val="auto"/>
            <w:sz w:val="24"/>
            <w:szCs w:val="24"/>
          </w:rPr>
          <w:t xml:space="preserve"> </w:t>
        </w:r>
        <w:r w:rsidRPr="00D146C6">
          <w:rPr>
            <w:rStyle w:val="Hyperlink"/>
            <w:rFonts w:ascii="Times New Roman" w:hAnsi="Times New Roman"/>
            <w:color w:val="auto"/>
            <w:sz w:val="24"/>
            <w:szCs w:val="24"/>
          </w:rPr>
          <w:t>transactions</w:t>
        </w:r>
      </w:hyperlink>
      <w:r w:rsidR="000241E2" w:rsidRPr="00D146C6">
        <w:t xml:space="preserve"> </w:t>
      </w:r>
      <w:r w:rsidR="000241E2" w:rsidRPr="00D146C6">
        <w:rPr>
          <w:rFonts w:ascii="Times New Roman" w:hAnsi="Times New Roman"/>
          <w:sz w:val="24"/>
          <w:szCs w:val="24"/>
        </w:rPr>
        <w:t>with a pattern of frequency</w:t>
      </w:r>
      <w:r w:rsidR="00AC006B" w:rsidRPr="00D146C6">
        <w:rPr>
          <w:rFonts w:ascii="Times New Roman" w:hAnsi="Times New Roman"/>
          <w:sz w:val="24"/>
          <w:szCs w:val="24"/>
        </w:rPr>
        <w:t>.</w:t>
      </w:r>
    </w:p>
    <w:p w:rsidR="00D7031A" w:rsidRPr="00D146C6" w:rsidRDefault="00D7031A" w:rsidP="008A7AD4">
      <w:pPr>
        <w:jc w:val="both"/>
      </w:pPr>
    </w:p>
    <w:p w:rsidR="001237DD" w:rsidRDefault="001237DD" w:rsidP="005E4702">
      <w:pPr>
        <w:shd w:val="clear" w:color="auto" w:fill="FFFFFF"/>
        <w:spacing w:line="244" w:lineRule="atLeast"/>
        <w:jc w:val="both"/>
        <w:rPr>
          <w:rFonts w:ascii="Times New Roman" w:eastAsia="Times New Roman" w:hAnsi="Times New Roman"/>
          <w:b/>
          <w:sz w:val="24"/>
          <w:szCs w:val="24"/>
        </w:rPr>
      </w:pPr>
    </w:p>
    <w:p w:rsidR="001237DD" w:rsidRDefault="001237DD" w:rsidP="005E4702">
      <w:pPr>
        <w:shd w:val="clear" w:color="auto" w:fill="FFFFFF"/>
        <w:spacing w:line="244" w:lineRule="atLeast"/>
        <w:jc w:val="both"/>
        <w:rPr>
          <w:rFonts w:ascii="Times New Roman" w:eastAsia="Times New Roman" w:hAnsi="Times New Roman"/>
          <w:b/>
          <w:sz w:val="24"/>
          <w:szCs w:val="24"/>
        </w:rPr>
      </w:pPr>
    </w:p>
    <w:p w:rsidR="000241E2" w:rsidRPr="00D146C6" w:rsidRDefault="000241E2" w:rsidP="005E4702">
      <w:pPr>
        <w:shd w:val="clear" w:color="auto" w:fill="FFFFFF"/>
        <w:spacing w:line="244" w:lineRule="atLeast"/>
        <w:jc w:val="both"/>
        <w:rPr>
          <w:rFonts w:ascii="Times New Roman" w:eastAsia="Times New Roman" w:hAnsi="Times New Roman"/>
          <w:b/>
          <w:sz w:val="24"/>
          <w:szCs w:val="24"/>
        </w:rPr>
      </w:pPr>
      <w:r w:rsidRPr="00D146C6">
        <w:rPr>
          <w:rFonts w:ascii="Times New Roman" w:eastAsia="Times New Roman" w:hAnsi="Times New Roman"/>
          <w:b/>
          <w:sz w:val="24"/>
          <w:szCs w:val="24"/>
        </w:rPr>
        <w:t>Arms Length transaction:</w:t>
      </w:r>
    </w:p>
    <w:p w:rsidR="000241E2" w:rsidRPr="00D146C6" w:rsidRDefault="000241E2" w:rsidP="005E4702">
      <w:pPr>
        <w:shd w:val="clear" w:color="auto" w:fill="FFFFFF"/>
        <w:spacing w:line="244" w:lineRule="atLeast"/>
        <w:jc w:val="both"/>
        <w:rPr>
          <w:rFonts w:ascii="Arial" w:eastAsia="Times New Roman" w:hAnsi="Arial" w:cs="Arial"/>
          <w:sz w:val="24"/>
          <w:szCs w:val="24"/>
        </w:rPr>
      </w:pPr>
    </w:p>
    <w:p w:rsidR="00D7031A" w:rsidRPr="00D146C6" w:rsidRDefault="005E4702" w:rsidP="00DC1F43">
      <w:pPr>
        <w:shd w:val="clear" w:color="auto" w:fill="FFFFFF"/>
        <w:spacing w:line="244" w:lineRule="atLeast"/>
        <w:jc w:val="both"/>
        <w:rPr>
          <w:rFonts w:ascii="Times New Roman" w:hAnsi="Times New Roman"/>
          <w:sz w:val="24"/>
          <w:szCs w:val="24"/>
        </w:rPr>
      </w:pPr>
      <w:r w:rsidRPr="00D146C6">
        <w:rPr>
          <w:rFonts w:ascii="Times New Roman" w:hAnsi="Times New Roman"/>
          <w:sz w:val="24"/>
          <w:szCs w:val="24"/>
        </w:rPr>
        <w:t xml:space="preserve">“Arm’s length transaction” means a transaction between two related parties that is conducted as if they were unrelated, so that there is no conflict of interest. </w:t>
      </w:r>
      <w:r w:rsidR="00DC1F43" w:rsidRPr="00D146C6">
        <w:rPr>
          <w:rFonts w:ascii="Times New Roman" w:hAnsi="Times New Roman"/>
          <w:sz w:val="24"/>
          <w:szCs w:val="24"/>
        </w:rPr>
        <w:t xml:space="preserve"> In this regard, </w:t>
      </w:r>
      <w:r w:rsidR="00D7031A" w:rsidRPr="00D146C6">
        <w:rPr>
          <w:rFonts w:ascii="Times New Roman" w:hAnsi="Times New Roman"/>
          <w:sz w:val="24"/>
          <w:szCs w:val="24"/>
        </w:rPr>
        <w:t>the following guidelines can be used for determining the arms length basis:</w:t>
      </w:r>
    </w:p>
    <w:p w:rsidR="00D7031A" w:rsidRPr="00D146C6" w:rsidRDefault="00D7031A" w:rsidP="00DC1F43">
      <w:pPr>
        <w:shd w:val="clear" w:color="auto" w:fill="FFFFFF"/>
        <w:spacing w:line="244" w:lineRule="atLeast"/>
        <w:jc w:val="both"/>
        <w:rPr>
          <w:rFonts w:ascii="Times New Roman" w:hAnsi="Times New Roman"/>
          <w:sz w:val="24"/>
          <w:szCs w:val="24"/>
        </w:rPr>
      </w:pPr>
    </w:p>
    <w:p w:rsidR="004C227F" w:rsidRPr="00D146C6" w:rsidRDefault="004C227F" w:rsidP="00011054">
      <w:pPr>
        <w:pStyle w:val="ListParagraph"/>
        <w:numPr>
          <w:ilvl w:val="0"/>
          <w:numId w:val="12"/>
        </w:numPr>
        <w:shd w:val="clear" w:color="auto" w:fill="FFFFFF"/>
        <w:spacing w:line="244" w:lineRule="atLeast"/>
        <w:jc w:val="both"/>
        <w:rPr>
          <w:rFonts w:ascii="Times New Roman" w:eastAsia="Times New Roman" w:hAnsi="Times New Roman"/>
          <w:sz w:val="24"/>
          <w:szCs w:val="24"/>
          <w:shd w:val="clear" w:color="auto" w:fill="FFFFFF"/>
        </w:rPr>
      </w:pPr>
      <w:r w:rsidRPr="00D146C6">
        <w:rPr>
          <w:rFonts w:ascii="Times New Roman" w:eastAsia="Times New Roman" w:hAnsi="Times New Roman"/>
          <w:sz w:val="24"/>
          <w:szCs w:val="24"/>
          <w:shd w:val="clear" w:color="auto" w:fill="FFFFFF"/>
        </w:rPr>
        <w:t>whether the terms of the transaction are fair and would apply on the same basis if the transaction did not involve a Related Party;</w:t>
      </w:r>
    </w:p>
    <w:p w:rsidR="004C227F" w:rsidRPr="00D146C6" w:rsidRDefault="00685DA3" w:rsidP="00011054">
      <w:pPr>
        <w:pStyle w:val="ListParagraph"/>
        <w:numPr>
          <w:ilvl w:val="0"/>
          <w:numId w:val="12"/>
        </w:numPr>
        <w:shd w:val="clear" w:color="auto" w:fill="FFFFFF"/>
        <w:spacing w:line="244" w:lineRule="atLeast"/>
        <w:jc w:val="both"/>
        <w:rPr>
          <w:rFonts w:ascii="Times New Roman" w:eastAsia="Times New Roman" w:hAnsi="Times New Roman"/>
          <w:sz w:val="24"/>
          <w:szCs w:val="24"/>
          <w:shd w:val="clear" w:color="auto" w:fill="FFFFFF"/>
        </w:rPr>
      </w:pPr>
      <w:r w:rsidRPr="00D146C6">
        <w:rPr>
          <w:rFonts w:ascii="Times New Roman" w:eastAsia="Times New Roman" w:hAnsi="Times New Roman"/>
          <w:sz w:val="24"/>
          <w:szCs w:val="24"/>
          <w:shd w:val="clear" w:color="auto" w:fill="FFFFFF"/>
        </w:rPr>
        <w:t>whether there are any compelling business reasons to enter into the transaction and the nature of alternative transactions, if any;</w:t>
      </w:r>
    </w:p>
    <w:p w:rsidR="00685DA3" w:rsidRPr="00D146C6" w:rsidRDefault="00685DA3" w:rsidP="00011054">
      <w:pPr>
        <w:pStyle w:val="ListParagraph"/>
        <w:numPr>
          <w:ilvl w:val="0"/>
          <w:numId w:val="12"/>
        </w:numPr>
        <w:shd w:val="clear" w:color="auto" w:fill="FFFFFF"/>
        <w:spacing w:line="244" w:lineRule="atLeast"/>
        <w:jc w:val="both"/>
        <w:rPr>
          <w:rFonts w:ascii="Times New Roman" w:eastAsia="Times New Roman" w:hAnsi="Times New Roman"/>
          <w:sz w:val="24"/>
          <w:szCs w:val="24"/>
          <w:shd w:val="clear" w:color="auto" w:fill="FFFFFF"/>
        </w:rPr>
      </w:pPr>
      <w:r w:rsidRPr="00D146C6">
        <w:rPr>
          <w:rFonts w:ascii="Times New Roman" w:eastAsia="Times New Roman" w:hAnsi="Times New Roman"/>
          <w:sz w:val="24"/>
          <w:szCs w:val="24"/>
          <w:shd w:val="clear" w:color="auto" w:fill="FFFFFF"/>
        </w:rPr>
        <w:t>whether the transaction would affect the independence of an independent director;</w:t>
      </w:r>
    </w:p>
    <w:p w:rsidR="00685DA3" w:rsidRPr="00D146C6" w:rsidRDefault="00685DA3" w:rsidP="00011054">
      <w:pPr>
        <w:pStyle w:val="ListParagraph"/>
        <w:numPr>
          <w:ilvl w:val="0"/>
          <w:numId w:val="12"/>
        </w:numPr>
        <w:shd w:val="clear" w:color="auto" w:fill="FFFFFF"/>
        <w:spacing w:line="244" w:lineRule="atLeast"/>
        <w:jc w:val="both"/>
        <w:rPr>
          <w:rFonts w:ascii="Times New Roman" w:eastAsia="Times New Roman" w:hAnsi="Times New Roman"/>
          <w:sz w:val="24"/>
          <w:szCs w:val="24"/>
          <w:shd w:val="clear" w:color="auto" w:fill="FFFFFF"/>
        </w:rPr>
      </w:pPr>
      <w:r w:rsidRPr="00D146C6">
        <w:rPr>
          <w:rFonts w:ascii="Times New Roman" w:eastAsia="Times New Roman" w:hAnsi="Times New Roman"/>
          <w:sz w:val="24"/>
          <w:szCs w:val="24"/>
          <w:shd w:val="clear" w:color="auto" w:fill="FFFFFF"/>
        </w:rPr>
        <w:t>whether the transaction poses any consequential potential reputational risk issues;</w:t>
      </w:r>
    </w:p>
    <w:p w:rsidR="00685DA3" w:rsidRPr="00D146C6" w:rsidRDefault="00685DA3" w:rsidP="00011054">
      <w:pPr>
        <w:pStyle w:val="ListParagraph"/>
        <w:numPr>
          <w:ilvl w:val="0"/>
          <w:numId w:val="12"/>
        </w:numPr>
        <w:shd w:val="clear" w:color="auto" w:fill="FFFFFF"/>
        <w:spacing w:line="244" w:lineRule="atLeast"/>
        <w:jc w:val="both"/>
        <w:rPr>
          <w:rFonts w:ascii="Times New Roman" w:eastAsia="Times New Roman" w:hAnsi="Times New Roman"/>
          <w:sz w:val="24"/>
          <w:szCs w:val="24"/>
          <w:shd w:val="clear" w:color="auto" w:fill="FFFFFF"/>
        </w:rPr>
      </w:pPr>
      <w:r w:rsidRPr="00D146C6">
        <w:rPr>
          <w:rFonts w:ascii="Times New Roman" w:eastAsia="Times New Roman" w:hAnsi="Times New Roman"/>
          <w:sz w:val="24"/>
          <w:szCs w:val="24"/>
          <w:shd w:val="clear" w:color="auto" w:fill="FFFFFF"/>
        </w:rPr>
        <w:t>whether the transaction would present an improper conflict of interest for any director or KMP, taking into account the size of the transaction, the overall financial position of the director/KMP or other Related Party, the direct or indirect nature of the directors’, KMPs’, or other Related Party’s interest in the transaction and the ongoing nature of any proposed relationship.</w:t>
      </w:r>
    </w:p>
    <w:p w:rsidR="005E4702" w:rsidRPr="00D146C6" w:rsidRDefault="004C227F" w:rsidP="00011054">
      <w:pPr>
        <w:pStyle w:val="ListParagraph"/>
        <w:numPr>
          <w:ilvl w:val="0"/>
          <w:numId w:val="12"/>
        </w:numPr>
        <w:shd w:val="clear" w:color="auto" w:fill="FFFFFF"/>
        <w:spacing w:line="244" w:lineRule="atLeast"/>
        <w:jc w:val="both"/>
        <w:rPr>
          <w:rFonts w:ascii="Times New Roman" w:eastAsia="Times New Roman" w:hAnsi="Times New Roman"/>
          <w:sz w:val="24"/>
          <w:szCs w:val="24"/>
          <w:shd w:val="clear" w:color="auto" w:fill="FFFFFF"/>
        </w:rPr>
      </w:pPr>
      <w:r w:rsidRPr="00D146C6">
        <w:rPr>
          <w:rFonts w:ascii="Times New Roman" w:hAnsi="Times New Roman"/>
          <w:sz w:val="24"/>
          <w:szCs w:val="24"/>
        </w:rPr>
        <w:t xml:space="preserve">For </w:t>
      </w:r>
      <w:r w:rsidR="001B4FC6" w:rsidRPr="00D146C6">
        <w:rPr>
          <w:rFonts w:ascii="Times New Roman" w:hAnsi="Times New Roman"/>
          <w:sz w:val="24"/>
          <w:szCs w:val="24"/>
        </w:rPr>
        <w:t>determining</w:t>
      </w:r>
      <w:r w:rsidRPr="00D146C6">
        <w:rPr>
          <w:rFonts w:ascii="Times New Roman" w:hAnsi="Times New Roman"/>
          <w:sz w:val="24"/>
          <w:szCs w:val="24"/>
        </w:rPr>
        <w:t xml:space="preserve"> the arms length pricing, the </w:t>
      </w:r>
      <w:r w:rsidR="00DC1F43" w:rsidRPr="00D146C6">
        <w:rPr>
          <w:rFonts w:ascii="Times New Roman" w:hAnsi="Times New Roman"/>
          <w:sz w:val="24"/>
          <w:szCs w:val="24"/>
        </w:rPr>
        <w:t>T</w:t>
      </w:r>
      <w:r w:rsidR="005E4702" w:rsidRPr="00D146C6">
        <w:rPr>
          <w:rFonts w:ascii="Times New Roman" w:hAnsi="Times New Roman"/>
          <w:sz w:val="24"/>
          <w:szCs w:val="24"/>
        </w:rPr>
        <w:t xml:space="preserve">ransfer </w:t>
      </w:r>
      <w:r w:rsidR="00DC1F43" w:rsidRPr="00D146C6">
        <w:rPr>
          <w:rFonts w:ascii="Times New Roman" w:hAnsi="Times New Roman"/>
          <w:sz w:val="24"/>
          <w:szCs w:val="24"/>
        </w:rPr>
        <w:t>P</w:t>
      </w:r>
      <w:r w:rsidR="005E4702" w:rsidRPr="00D146C6">
        <w:rPr>
          <w:rFonts w:ascii="Times New Roman" w:hAnsi="Times New Roman"/>
          <w:sz w:val="24"/>
          <w:szCs w:val="24"/>
        </w:rPr>
        <w:t xml:space="preserve">ricing </w:t>
      </w:r>
      <w:r w:rsidR="00DC1F43" w:rsidRPr="00D146C6">
        <w:rPr>
          <w:rFonts w:ascii="Times New Roman" w:hAnsi="Times New Roman"/>
          <w:sz w:val="24"/>
          <w:szCs w:val="24"/>
        </w:rPr>
        <w:t xml:space="preserve">guidelines issued by the relevant authorities under the provisions of Income-Tax Act 1961 may be </w:t>
      </w:r>
      <w:r w:rsidR="005E4702" w:rsidRPr="00D146C6">
        <w:rPr>
          <w:rFonts w:ascii="Times New Roman" w:hAnsi="Times New Roman"/>
          <w:sz w:val="24"/>
          <w:szCs w:val="24"/>
        </w:rPr>
        <w:t>used to determine this criteria on a case to</w:t>
      </w:r>
      <w:r w:rsidR="005E4702" w:rsidRPr="00D146C6">
        <w:rPr>
          <w:rFonts w:ascii="Times New Roman" w:eastAsia="Times New Roman" w:hAnsi="Times New Roman"/>
          <w:sz w:val="24"/>
          <w:szCs w:val="24"/>
        </w:rPr>
        <w:t xml:space="preserve"> case basis. </w:t>
      </w:r>
    </w:p>
    <w:p w:rsidR="00D7031A" w:rsidRPr="00011054" w:rsidRDefault="00D7031A" w:rsidP="00011054">
      <w:pPr>
        <w:pStyle w:val="ListParagraph"/>
        <w:shd w:val="clear" w:color="auto" w:fill="FFFFFF"/>
        <w:spacing w:line="244" w:lineRule="atLeast"/>
        <w:jc w:val="both"/>
        <w:rPr>
          <w:rFonts w:ascii="Arial" w:eastAsia="Times New Roman" w:hAnsi="Arial" w:cs="Arial"/>
          <w:color w:val="5E5E5E"/>
          <w:sz w:val="24"/>
          <w:szCs w:val="24"/>
          <w:shd w:val="clear" w:color="auto" w:fill="FFFFFF"/>
        </w:rPr>
      </w:pPr>
    </w:p>
    <w:p w:rsidR="00FD55FD" w:rsidRPr="00912205" w:rsidRDefault="00FD55FD" w:rsidP="00805B66">
      <w:pPr>
        <w:jc w:val="both"/>
        <w:outlineLvl w:val="0"/>
        <w:rPr>
          <w:rFonts w:ascii="Times New Roman" w:hAnsi="Times New Roman"/>
          <w:sz w:val="24"/>
          <w:szCs w:val="24"/>
        </w:rPr>
      </w:pPr>
      <w:r w:rsidRPr="00912205">
        <w:rPr>
          <w:rFonts w:ascii="Times New Roman" w:hAnsi="Times New Roman"/>
          <w:b/>
          <w:sz w:val="24"/>
          <w:szCs w:val="24"/>
        </w:rPr>
        <w:t>5.</w:t>
      </w:r>
      <w:r w:rsidRPr="00912205">
        <w:rPr>
          <w:rFonts w:ascii="Times New Roman" w:hAnsi="Times New Roman"/>
          <w:sz w:val="24"/>
          <w:szCs w:val="24"/>
        </w:rPr>
        <w:tab/>
      </w:r>
      <w:r w:rsidRPr="00912205">
        <w:rPr>
          <w:rFonts w:ascii="Times New Roman" w:hAnsi="Times New Roman"/>
          <w:b/>
          <w:sz w:val="24"/>
          <w:szCs w:val="24"/>
        </w:rPr>
        <w:t>Omnibus approval</w:t>
      </w:r>
    </w:p>
    <w:p w:rsidR="00FD55FD" w:rsidRDefault="00FD55FD" w:rsidP="008A7AD4">
      <w:pPr>
        <w:jc w:val="both"/>
        <w:rPr>
          <w:rFonts w:ascii="Times New Roman" w:hAnsi="Times New Roman"/>
          <w:sz w:val="24"/>
          <w:szCs w:val="24"/>
        </w:rPr>
      </w:pPr>
    </w:p>
    <w:p w:rsidR="00ED5293" w:rsidRDefault="00ED5293" w:rsidP="008A7AD4">
      <w:pPr>
        <w:jc w:val="both"/>
        <w:rPr>
          <w:rFonts w:ascii="Times New Roman" w:hAnsi="Times New Roman"/>
          <w:b/>
          <w:sz w:val="24"/>
          <w:szCs w:val="24"/>
        </w:rPr>
      </w:pPr>
      <w:r>
        <w:rPr>
          <w:rFonts w:ascii="Times New Roman" w:hAnsi="Times New Roman"/>
          <w:sz w:val="24"/>
          <w:szCs w:val="24"/>
        </w:rPr>
        <w:tab/>
      </w:r>
      <w:r w:rsidRPr="00ED5293">
        <w:rPr>
          <w:rFonts w:ascii="Times New Roman" w:hAnsi="Times New Roman"/>
          <w:b/>
          <w:sz w:val="24"/>
          <w:szCs w:val="24"/>
        </w:rPr>
        <w:t>Criteria and the need for granting omnibus approval</w:t>
      </w:r>
    </w:p>
    <w:p w:rsidR="00ED5293" w:rsidRPr="00912205" w:rsidRDefault="00ED5293" w:rsidP="008A7AD4">
      <w:pPr>
        <w:jc w:val="both"/>
        <w:rPr>
          <w:rFonts w:ascii="Times New Roman" w:hAnsi="Times New Roman"/>
          <w:sz w:val="24"/>
          <w:szCs w:val="24"/>
        </w:rPr>
      </w:pPr>
    </w:p>
    <w:p w:rsidR="00FD55FD" w:rsidRPr="00912205" w:rsidRDefault="00FD55FD" w:rsidP="00B36E0D">
      <w:pPr>
        <w:pStyle w:val="ListParagraph"/>
        <w:numPr>
          <w:ilvl w:val="0"/>
          <w:numId w:val="4"/>
        </w:numPr>
        <w:ind w:hanging="720"/>
        <w:jc w:val="both"/>
        <w:rPr>
          <w:rFonts w:ascii="Times New Roman" w:hAnsi="Times New Roman"/>
          <w:sz w:val="24"/>
          <w:szCs w:val="24"/>
        </w:rPr>
      </w:pPr>
      <w:r w:rsidRPr="00912205">
        <w:rPr>
          <w:rFonts w:ascii="Times New Roman" w:hAnsi="Times New Roman"/>
          <w:sz w:val="24"/>
          <w:szCs w:val="24"/>
        </w:rPr>
        <w:t>The Audit Committee may</w:t>
      </w:r>
      <w:r w:rsidR="00FB5D56">
        <w:rPr>
          <w:rFonts w:ascii="Times New Roman" w:hAnsi="Times New Roman"/>
          <w:sz w:val="24"/>
          <w:szCs w:val="24"/>
        </w:rPr>
        <w:t>, in the interest of the Company to ensure smooth operations,</w:t>
      </w:r>
      <w:r w:rsidR="00BA3539">
        <w:rPr>
          <w:rFonts w:ascii="Times New Roman" w:hAnsi="Times New Roman"/>
          <w:sz w:val="24"/>
          <w:szCs w:val="24"/>
        </w:rPr>
        <w:t xml:space="preserve"> </w:t>
      </w:r>
      <w:r w:rsidRPr="00912205">
        <w:rPr>
          <w:rFonts w:ascii="Times New Roman" w:hAnsi="Times New Roman"/>
          <w:sz w:val="24"/>
          <w:szCs w:val="24"/>
        </w:rPr>
        <w:t xml:space="preserve">grant omnibus approval for Related Party Transactions proposed to be entered into by the Company which are repetitive in nature </w:t>
      </w:r>
      <w:r w:rsidR="00ED5293">
        <w:rPr>
          <w:rFonts w:ascii="Times New Roman" w:hAnsi="Times New Roman"/>
          <w:sz w:val="24"/>
          <w:szCs w:val="24"/>
        </w:rPr>
        <w:t>and which are routine and incidental to the general operations of the Company</w:t>
      </w:r>
      <w:r w:rsidR="00FB5D56">
        <w:rPr>
          <w:rFonts w:ascii="Times New Roman" w:hAnsi="Times New Roman"/>
          <w:sz w:val="24"/>
          <w:szCs w:val="24"/>
        </w:rPr>
        <w:t>,</w:t>
      </w:r>
      <w:r w:rsidR="001237DD">
        <w:rPr>
          <w:rFonts w:ascii="Times New Roman" w:hAnsi="Times New Roman"/>
          <w:sz w:val="24"/>
          <w:szCs w:val="24"/>
        </w:rPr>
        <w:t xml:space="preserve"> </w:t>
      </w:r>
      <w:r w:rsidRPr="00912205">
        <w:rPr>
          <w:rFonts w:ascii="Times New Roman" w:hAnsi="Times New Roman"/>
          <w:sz w:val="24"/>
          <w:szCs w:val="24"/>
        </w:rPr>
        <w:t xml:space="preserve">subject to such conditions as it may deem fit.  Such approval shall </w:t>
      </w:r>
      <w:r w:rsidR="00FB5D56">
        <w:rPr>
          <w:rFonts w:ascii="Times New Roman" w:hAnsi="Times New Roman"/>
          <w:sz w:val="24"/>
          <w:szCs w:val="24"/>
        </w:rPr>
        <w:t xml:space="preserve">be valid for a period not exceeding one year and shall </w:t>
      </w:r>
      <w:r w:rsidRPr="00912205">
        <w:rPr>
          <w:rFonts w:ascii="Times New Roman" w:hAnsi="Times New Roman"/>
          <w:sz w:val="24"/>
          <w:szCs w:val="24"/>
        </w:rPr>
        <w:t>specify the following:</w:t>
      </w:r>
    </w:p>
    <w:p w:rsidR="00FD55FD" w:rsidRPr="00912205" w:rsidRDefault="00FD55FD" w:rsidP="00700347">
      <w:pPr>
        <w:ind w:left="720"/>
        <w:jc w:val="both"/>
        <w:rPr>
          <w:rFonts w:ascii="Times New Roman" w:hAnsi="Times New Roman"/>
          <w:sz w:val="24"/>
          <w:szCs w:val="24"/>
        </w:rPr>
      </w:pPr>
    </w:p>
    <w:p w:rsidR="00FD55FD" w:rsidRPr="00912205" w:rsidRDefault="00FD55FD" w:rsidP="00B36E0D">
      <w:pPr>
        <w:pStyle w:val="ListParagraph"/>
        <w:numPr>
          <w:ilvl w:val="0"/>
          <w:numId w:val="5"/>
        </w:numPr>
        <w:jc w:val="both"/>
        <w:rPr>
          <w:rFonts w:ascii="Times New Roman" w:hAnsi="Times New Roman"/>
          <w:sz w:val="24"/>
          <w:szCs w:val="24"/>
        </w:rPr>
      </w:pPr>
      <w:r w:rsidRPr="00912205">
        <w:rPr>
          <w:rFonts w:ascii="Times New Roman" w:hAnsi="Times New Roman"/>
          <w:sz w:val="24"/>
          <w:szCs w:val="24"/>
        </w:rPr>
        <w:t>The name(s) of the Related Party;</w:t>
      </w:r>
    </w:p>
    <w:p w:rsidR="00FD55FD" w:rsidRPr="00912205" w:rsidRDefault="00FD55FD" w:rsidP="00B36E0D">
      <w:pPr>
        <w:pStyle w:val="ListParagraph"/>
        <w:numPr>
          <w:ilvl w:val="0"/>
          <w:numId w:val="5"/>
        </w:numPr>
        <w:jc w:val="both"/>
        <w:rPr>
          <w:rFonts w:ascii="Times New Roman" w:hAnsi="Times New Roman"/>
          <w:sz w:val="24"/>
          <w:szCs w:val="24"/>
        </w:rPr>
      </w:pPr>
      <w:r w:rsidRPr="00912205">
        <w:rPr>
          <w:rFonts w:ascii="Times New Roman" w:hAnsi="Times New Roman"/>
          <w:sz w:val="24"/>
          <w:szCs w:val="24"/>
        </w:rPr>
        <w:t>The nature of the transaction, period of transaction, maximum amount of transaction that can be entered into &amp;</w:t>
      </w:r>
    </w:p>
    <w:p w:rsidR="00FD55FD" w:rsidRPr="00912205" w:rsidRDefault="00FD55FD" w:rsidP="00B36E0D">
      <w:pPr>
        <w:pStyle w:val="ListParagraph"/>
        <w:numPr>
          <w:ilvl w:val="0"/>
          <w:numId w:val="5"/>
        </w:numPr>
        <w:jc w:val="both"/>
        <w:rPr>
          <w:rFonts w:ascii="Times New Roman" w:hAnsi="Times New Roman"/>
          <w:sz w:val="24"/>
          <w:szCs w:val="24"/>
        </w:rPr>
      </w:pPr>
      <w:r w:rsidRPr="00912205">
        <w:rPr>
          <w:rFonts w:ascii="Times New Roman" w:hAnsi="Times New Roman"/>
          <w:sz w:val="24"/>
          <w:szCs w:val="24"/>
        </w:rPr>
        <w:t xml:space="preserve">The indicative base price/current contract price and the formula for variation in </w:t>
      </w:r>
      <w:r w:rsidR="00ED5293">
        <w:rPr>
          <w:rFonts w:ascii="Times New Roman" w:hAnsi="Times New Roman"/>
          <w:sz w:val="24"/>
          <w:szCs w:val="24"/>
        </w:rPr>
        <w:t xml:space="preserve">the </w:t>
      </w:r>
      <w:r w:rsidRPr="00912205">
        <w:rPr>
          <w:rFonts w:ascii="Times New Roman" w:hAnsi="Times New Roman"/>
          <w:sz w:val="24"/>
          <w:szCs w:val="24"/>
        </w:rPr>
        <w:t>price, if any.</w:t>
      </w:r>
    </w:p>
    <w:p w:rsidR="00FD55FD" w:rsidRPr="00912205" w:rsidRDefault="00FD55FD" w:rsidP="00700347">
      <w:pPr>
        <w:ind w:left="720"/>
        <w:jc w:val="both"/>
        <w:rPr>
          <w:rFonts w:ascii="Times New Roman" w:hAnsi="Times New Roman"/>
          <w:sz w:val="24"/>
          <w:szCs w:val="24"/>
        </w:rPr>
      </w:pPr>
    </w:p>
    <w:p w:rsidR="00FD55FD" w:rsidRPr="00912205" w:rsidRDefault="00FD55FD" w:rsidP="00B36E0D">
      <w:pPr>
        <w:pStyle w:val="ListParagraph"/>
        <w:numPr>
          <w:ilvl w:val="0"/>
          <w:numId w:val="4"/>
        </w:numPr>
        <w:ind w:hanging="720"/>
        <w:jc w:val="both"/>
        <w:rPr>
          <w:rFonts w:ascii="Times New Roman" w:hAnsi="Times New Roman"/>
          <w:sz w:val="24"/>
          <w:szCs w:val="24"/>
        </w:rPr>
      </w:pPr>
      <w:r w:rsidRPr="00912205">
        <w:rPr>
          <w:rFonts w:ascii="Times New Roman" w:hAnsi="Times New Roman"/>
          <w:sz w:val="24"/>
          <w:szCs w:val="24"/>
        </w:rPr>
        <w:t xml:space="preserve">The Audit Committee may also grant omnibus approval, without the above details, for unforeseen transaction subject to a value not exceeding Rs.1 crore per transaction. </w:t>
      </w:r>
    </w:p>
    <w:p w:rsidR="00FD55FD" w:rsidRPr="00912205" w:rsidRDefault="00FD55FD" w:rsidP="00B36E0D">
      <w:pPr>
        <w:pStyle w:val="ListParagraph"/>
        <w:ind w:left="1440"/>
        <w:jc w:val="both"/>
        <w:rPr>
          <w:rFonts w:ascii="Times New Roman" w:hAnsi="Times New Roman"/>
          <w:sz w:val="24"/>
          <w:szCs w:val="24"/>
        </w:rPr>
      </w:pPr>
    </w:p>
    <w:p w:rsidR="00FD55FD" w:rsidRPr="00912205" w:rsidRDefault="00FD55FD" w:rsidP="00B36E0D">
      <w:pPr>
        <w:pStyle w:val="ListParagraph"/>
        <w:numPr>
          <w:ilvl w:val="0"/>
          <w:numId w:val="4"/>
        </w:numPr>
        <w:ind w:hanging="720"/>
        <w:jc w:val="both"/>
        <w:rPr>
          <w:rFonts w:ascii="Times New Roman" w:hAnsi="Times New Roman"/>
          <w:sz w:val="24"/>
          <w:szCs w:val="24"/>
        </w:rPr>
      </w:pPr>
      <w:r w:rsidRPr="00912205">
        <w:rPr>
          <w:rFonts w:ascii="Times New Roman" w:hAnsi="Times New Roman"/>
          <w:sz w:val="24"/>
          <w:szCs w:val="24"/>
        </w:rPr>
        <w:t>Such Omnibus approvals shall be valid for a maximum period of one year.  The Audit Committee shall review the details of Related Party Transactions entered into by the Company pursuant to such Omnibus approvals, on a quarterly basis.</w:t>
      </w:r>
    </w:p>
    <w:p w:rsidR="00FD55FD" w:rsidRPr="00912205" w:rsidRDefault="00FD55FD" w:rsidP="00700347">
      <w:pPr>
        <w:ind w:left="720"/>
        <w:jc w:val="both"/>
        <w:rPr>
          <w:rFonts w:ascii="Times New Roman" w:hAnsi="Times New Roman"/>
          <w:sz w:val="24"/>
          <w:szCs w:val="24"/>
        </w:rPr>
      </w:pPr>
    </w:p>
    <w:p w:rsidR="00FD55FD" w:rsidRPr="00912205" w:rsidRDefault="00FD55FD" w:rsidP="00805B66">
      <w:pPr>
        <w:jc w:val="both"/>
        <w:outlineLvl w:val="0"/>
        <w:rPr>
          <w:rFonts w:ascii="Times New Roman" w:hAnsi="Times New Roman"/>
          <w:sz w:val="24"/>
          <w:szCs w:val="24"/>
        </w:rPr>
      </w:pPr>
      <w:r w:rsidRPr="00912205">
        <w:rPr>
          <w:rFonts w:ascii="Times New Roman" w:hAnsi="Times New Roman"/>
          <w:b/>
          <w:sz w:val="24"/>
          <w:szCs w:val="24"/>
        </w:rPr>
        <w:t>6.</w:t>
      </w:r>
      <w:r w:rsidRPr="00912205">
        <w:rPr>
          <w:rFonts w:ascii="Times New Roman" w:hAnsi="Times New Roman"/>
          <w:sz w:val="24"/>
          <w:szCs w:val="24"/>
        </w:rPr>
        <w:tab/>
      </w:r>
      <w:r w:rsidRPr="00912205">
        <w:rPr>
          <w:rFonts w:ascii="Times New Roman" w:hAnsi="Times New Roman"/>
          <w:b/>
          <w:sz w:val="24"/>
          <w:szCs w:val="24"/>
        </w:rPr>
        <w:t>Related Party Transactions not approved under this Policy</w:t>
      </w:r>
    </w:p>
    <w:p w:rsidR="00FD55FD" w:rsidRPr="00912205" w:rsidRDefault="00FD55FD" w:rsidP="008A7AD4">
      <w:pPr>
        <w:jc w:val="both"/>
        <w:rPr>
          <w:rFonts w:ascii="Times New Roman" w:hAnsi="Times New Roman"/>
          <w:sz w:val="24"/>
          <w:szCs w:val="24"/>
        </w:rPr>
      </w:pPr>
    </w:p>
    <w:p w:rsidR="00FD55FD" w:rsidRPr="00912205" w:rsidRDefault="00FD55FD" w:rsidP="008A7AD4">
      <w:pPr>
        <w:ind w:left="720"/>
        <w:jc w:val="both"/>
        <w:rPr>
          <w:rFonts w:ascii="Times New Roman" w:hAnsi="Times New Roman"/>
          <w:sz w:val="24"/>
          <w:szCs w:val="24"/>
        </w:rPr>
      </w:pPr>
      <w:r w:rsidRPr="00912205">
        <w:rPr>
          <w:rFonts w:ascii="Times New Roman" w:hAnsi="Times New Roman"/>
          <w:sz w:val="24"/>
          <w:szCs w:val="24"/>
        </w:rPr>
        <w:t>In the event the Company becomes aware of a Related Party Transaction with a Related Party that has not been approved under this Policy prior to its consummation, the matter shall be reviewed by the Audit Committee. The Audit Committee shall consider all the relevant facts and circumstances regarding the Related Party Transaction, and shall evaluate all options available to the Company, including ratification, revision or termination of the Related Party Transaction. The Audit Committee shall also examine the facts and circumstances pertaining to the failure of reporting such Related Party Transaction to the Audit Committee under this Policy, and shall take any such action it deems appropriate.</w:t>
      </w:r>
    </w:p>
    <w:p w:rsidR="00FD55FD" w:rsidRPr="00912205" w:rsidRDefault="00FD55FD" w:rsidP="008A7AD4">
      <w:pPr>
        <w:jc w:val="both"/>
        <w:rPr>
          <w:rFonts w:ascii="Times New Roman" w:hAnsi="Times New Roman"/>
          <w:sz w:val="24"/>
          <w:szCs w:val="24"/>
        </w:rPr>
      </w:pPr>
    </w:p>
    <w:p w:rsidR="00FD55FD" w:rsidRPr="00912205" w:rsidRDefault="00FD55FD" w:rsidP="008A7AD4">
      <w:pPr>
        <w:ind w:left="720"/>
        <w:jc w:val="both"/>
        <w:rPr>
          <w:rFonts w:ascii="Times New Roman" w:hAnsi="Times New Roman"/>
          <w:sz w:val="24"/>
          <w:szCs w:val="24"/>
        </w:rPr>
      </w:pPr>
      <w:r w:rsidRPr="00912205">
        <w:rPr>
          <w:rFonts w:ascii="Times New Roman" w:hAnsi="Times New Roman"/>
          <w:sz w:val="24"/>
          <w:szCs w:val="24"/>
        </w:rPr>
        <w:t xml:space="preserve">In any case, where the Audit Committee determines not to ratify a Related Party </w:t>
      </w:r>
      <w:r w:rsidR="001237DD">
        <w:rPr>
          <w:rFonts w:ascii="Times New Roman" w:hAnsi="Times New Roman"/>
          <w:sz w:val="24"/>
          <w:szCs w:val="24"/>
        </w:rPr>
        <w:t>t</w:t>
      </w:r>
      <w:r w:rsidRPr="00912205">
        <w:rPr>
          <w:rFonts w:ascii="Times New Roman" w:hAnsi="Times New Roman"/>
          <w:sz w:val="24"/>
          <w:szCs w:val="24"/>
        </w:rPr>
        <w:t>ransaction that has been commenced without its approval, the Committee, as appropriate, may direct additional actions including, but not limited to, immediate discontinuation or rescission of the transaction. In connection with any review of a Related Party Transaction, the Audit Committee has authority to modify or waive any procedural requirements of this Policy.</w:t>
      </w:r>
    </w:p>
    <w:p w:rsidR="00FD55FD" w:rsidRPr="00912205" w:rsidRDefault="00FD55FD" w:rsidP="008A7AD4">
      <w:pPr>
        <w:ind w:left="720"/>
        <w:jc w:val="both"/>
        <w:rPr>
          <w:rFonts w:ascii="Times New Roman" w:hAnsi="Times New Roman"/>
          <w:sz w:val="24"/>
          <w:szCs w:val="24"/>
        </w:rPr>
      </w:pPr>
    </w:p>
    <w:p w:rsidR="00FD55FD" w:rsidRPr="00912205" w:rsidRDefault="00FD55FD" w:rsidP="008A7AD4">
      <w:pPr>
        <w:ind w:left="720"/>
        <w:jc w:val="both"/>
        <w:rPr>
          <w:rFonts w:ascii="Times New Roman" w:hAnsi="Times New Roman"/>
          <w:sz w:val="24"/>
          <w:szCs w:val="24"/>
        </w:rPr>
      </w:pPr>
    </w:p>
    <w:p w:rsidR="00FD55FD" w:rsidRPr="00912205" w:rsidRDefault="00FD55FD" w:rsidP="007F7A4B">
      <w:pPr>
        <w:ind w:left="720"/>
        <w:jc w:val="center"/>
        <w:rPr>
          <w:rFonts w:ascii="Times New Roman" w:hAnsi="Times New Roman"/>
          <w:sz w:val="24"/>
          <w:szCs w:val="24"/>
        </w:rPr>
      </w:pPr>
      <w:r w:rsidRPr="00912205">
        <w:rPr>
          <w:rFonts w:ascii="Times New Roman" w:hAnsi="Times New Roman"/>
          <w:sz w:val="24"/>
          <w:szCs w:val="24"/>
        </w:rPr>
        <w:t>*  *  *</w:t>
      </w:r>
    </w:p>
    <w:sectPr w:rsidR="00FD55FD" w:rsidRPr="00912205" w:rsidSect="007F7A4B">
      <w:footerReference w:type="even" r:id="rId13"/>
      <w:footerReference w:type="default" r:id="rId14"/>
      <w:pgSz w:w="12240" w:h="15840"/>
      <w:pgMar w:top="1258"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E3A3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6E" w:rsidRDefault="005E646E">
      <w:r>
        <w:separator/>
      </w:r>
    </w:p>
  </w:endnote>
  <w:endnote w:type="continuationSeparator" w:id="1">
    <w:p w:rsidR="005E646E" w:rsidRDefault="005E646E">
      <w:r>
        <w:continuationSeparator/>
      </w:r>
    </w:p>
  </w:endnote>
  <w:endnote w:type="continuationNotice" w:id="2">
    <w:p w:rsidR="005E646E" w:rsidRDefault="005E646E">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6E" w:rsidRDefault="00B60295" w:rsidP="00877D02">
    <w:pPr>
      <w:pStyle w:val="Footer"/>
      <w:framePr w:wrap="around" w:vAnchor="text" w:hAnchor="margin" w:xAlign="center" w:y="1"/>
      <w:rPr>
        <w:rStyle w:val="PageNumber"/>
      </w:rPr>
    </w:pPr>
    <w:r>
      <w:rPr>
        <w:rStyle w:val="PageNumber"/>
      </w:rPr>
      <w:fldChar w:fldCharType="begin"/>
    </w:r>
    <w:r w:rsidR="005E646E">
      <w:rPr>
        <w:rStyle w:val="PageNumber"/>
      </w:rPr>
      <w:instrText xml:space="preserve">PAGE  </w:instrText>
    </w:r>
    <w:r>
      <w:rPr>
        <w:rStyle w:val="PageNumber"/>
      </w:rPr>
      <w:fldChar w:fldCharType="end"/>
    </w:r>
  </w:p>
  <w:p w:rsidR="005E646E" w:rsidRDefault="005E64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6E" w:rsidRDefault="00B60295" w:rsidP="00877D02">
    <w:pPr>
      <w:pStyle w:val="Footer"/>
      <w:framePr w:wrap="around" w:vAnchor="text" w:hAnchor="margin" w:xAlign="center" w:y="1"/>
      <w:rPr>
        <w:rStyle w:val="PageNumber"/>
      </w:rPr>
    </w:pPr>
    <w:r>
      <w:rPr>
        <w:rStyle w:val="PageNumber"/>
      </w:rPr>
      <w:fldChar w:fldCharType="begin"/>
    </w:r>
    <w:r w:rsidR="005E646E">
      <w:rPr>
        <w:rStyle w:val="PageNumber"/>
      </w:rPr>
      <w:instrText xml:space="preserve">PAGE  </w:instrText>
    </w:r>
    <w:r>
      <w:rPr>
        <w:rStyle w:val="PageNumber"/>
      </w:rPr>
      <w:fldChar w:fldCharType="separate"/>
    </w:r>
    <w:r w:rsidR="00F225CB">
      <w:rPr>
        <w:rStyle w:val="PageNumber"/>
        <w:noProof/>
      </w:rPr>
      <w:t>3</w:t>
    </w:r>
    <w:r>
      <w:rPr>
        <w:rStyle w:val="PageNumber"/>
      </w:rPr>
      <w:fldChar w:fldCharType="end"/>
    </w:r>
  </w:p>
  <w:p w:rsidR="005E646E" w:rsidRDefault="005E6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6E" w:rsidRDefault="005E646E">
      <w:r>
        <w:separator/>
      </w:r>
    </w:p>
  </w:footnote>
  <w:footnote w:type="continuationSeparator" w:id="1">
    <w:p w:rsidR="005E646E" w:rsidRDefault="005E646E">
      <w:r>
        <w:continuationSeparator/>
      </w:r>
    </w:p>
  </w:footnote>
  <w:footnote w:type="continuationNotice" w:id="2">
    <w:p w:rsidR="005E646E" w:rsidRDefault="005E646E">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F38"/>
    <w:multiLevelType w:val="hybridMultilevel"/>
    <w:tmpl w:val="1B40BD7E"/>
    <w:lvl w:ilvl="0" w:tplc="F96EAB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1346A"/>
    <w:multiLevelType w:val="hybridMultilevel"/>
    <w:tmpl w:val="FD84568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8EF2FBA"/>
    <w:multiLevelType w:val="hybridMultilevel"/>
    <w:tmpl w:val="77A0CA56"/>
    <w:lvl w:ilvl="0" w:tplc="0409001B">
      <w:start w:val="1"/>
      <w:numFmt w:val="lowerRoman"/>
      <w:lvlText w:val="%1."/>
      <w:lvlJc w:val="righ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9269F0"/>
    <w:multiLevelType w:val="hybridMultilevel"/>
    <w:tmpl w:val="BA46B682"/>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0535037"/>
    <w:multiLevelType w:val="hybridMultilevel"/>
    <w:tmpl w:val="0A98DCC2"/>
    <w:lvl w:ilvl="0" w:tplc="FE328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1528A"/>
    <w:multiLevelType w:val="hybridMultilevel"/>
    <w:tmpl w:val="764228B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048024B"/>
    <w:multiLevelType w:val="hybridMultilevel"/>
    <w:tmpl w:val="D092F882"/>
    <w:lvl w:ilvl="0" w:tplc="91A2568C">
      <w:start w:val="3"/>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3627C"/>
    <w:multiLevelType w:val="hybridMultilevel"/>
    <w:tmpl w:val="09CC3258"/>
    <w:lvl w:ilvl="0" w:tplc="BDEEF6D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D527DF"/>
    <w:multiLevelType w:val="hybridMultilevel"/>
    <w:tmpl w:val="69CC29E8"/>
    <w:lvl w:ilvl="0" w:tplc="60B42D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E5A483C"/>
    <w:multiLevelType w:val="hybridMultilevel"/>
    <w:tmpl w:val="E98425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14493D"/>
    <w:multiLevelType w:val="hybridMultilevel"/>
    <w:tmpl w:val="D09EFD70"/>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7D3C2DDB"/>
    <w:multiLevelType w:val="hybridMultilevel"/>
    <w:tmpl w:val="B1023EE0"/>
    <w:lvl w:ilvl="0" w:tplc="8C1C89CE">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1"/>
  </w:num>
  <w:num w:numId="3">
    <w:abstractNumId w:val="1"/>
  </w:num>
  <w:num w:numId="4">
    <w:abstractNumId w:val="5"/>
  </w:num>
  <w:num w:numId="5">
    <w:abstractNumId w:val="10"/>
  </w:num>
  <w:num w:numId="6">
    <w:abstractNumId w:val="3"/>
  </w:num>
  <w:num w:numId="7">
    <w:abstractNumId w:val="7"/>
  </w:num>
  <w:num w:numId="8">
    <w:abstractNumId w:val="2"/>
  </w:num>
  <w:num w:numId="9">
    <w:abstractNumId w:val="0"/>
  </w:num>
  <w:num w:numId="10">
    <w:abstractNumId w:val="4"/>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 w:id="2"/>
  </w:footnotePr>
  <w:endnotePr>
    <w:endnote w:id="0"/>
    <w:endnote w:id="1"/>
    <w:endnote w:id="2"/>
  </w:endnotePr>
  <w:compat/>
  <w:rsids>
    <w:rsidRoot w:val="008A324E"/>
    <w:rsid w:val="00011054"/>
    <w:rsid w:val="000241E2"/>
    <w:rsid w:val="0004748E"/>
    <w:rsid w:val="000A522F"/>
    <w:rsid w:val="000B2F61"/>
    <w:rsid w:val="000B5CE2"/>
    <w:rsid w:val="000E6A48"/>
    <w:rsid w:val="00116455"/>
    <w:rsid w:val="001237DD"/>
    <w:rsid w:val="0013196B"/>
    <w:rsid w:val="0014747B"/>
    <w:rsid w:val="00160AF3"/>
    <w:rsid w:val="00191D33"/>
    <w:rsid w:val="001A1E13"/>
    <w:rsid w:val="001B4FC6"/>
    <w:rsid w:val="001B7E0D"/>
    <w:rsid w:val="001D5106"/>
    <w:rsid w:val="001E3507"/>
    <w:rsid w:val="001F4E8B"/>
    <w:rsid w:val="00257000"/>
    <w:rsid w:val="00275AC6"/>
    <w:rsid w:val="002857F9"/>
    <w:rsid w:val="00291A88"/>
    <w:rsid w:val="002A005F"/>
    <w:rsid w:val="002B03F0"/>
    <w:rsid w:val="002C073D"/>
    <w:rsid w:val="002D0E48"/>
    <w:rsid w:val="0031330B"/>
    <w:rsid w:val="00367D08"/>
    <w:rsid w:val="00383307"/>
    <w:rsid w:val="00385BA6"/>
    <w:rsid w:val="003E3FA0"/>
    <w:rsid w:val="00421801"/>
    <w:rsid w:val="004C227F"/>
    <w:rsid w:val="00551775"/>
    <w:rsid w:val="00587A7D"/>
    <w:rsid w:val="005962F8"/>
    <w:rsid w:val="005A4BAC"/>
    <w:rsid w:val="005B5FF4"/>
    <w:rsid w:val="005D7514"/>
    <w:rsid w:val="005E4702"/>
    <w:rsid w:val="005E646E"/>
    <w:rsid w:val="0060325D"/>
    <w:rsid w:val="00603E73"/>
    <w:rsid w:val="00620C13"/>
    <w:rsid w:val="00647ABD"/>
    <w:rsid w:val="00685DA3"/>
    <w:rsid w:val="006A69AB"/>
    <w:rsid w:val="006A74F1"/>
    <w:rsid w:val="00700347"/>
    <w:rsid w:val="00720935"/>
    <w:rsid w:val="0074081E"/>
    <w:rsid w:val="00782058"/>
    <w:rsid w:val="007F7A4B"/>
    <w:rsid w:val="00805B66"/>
    <w:rsid w:val="00806FB5"/>
    <w:rsid w:val="008235DE"/>
    <w:rsid w:val="008427BF"/>
    <w:rsid w:val="008768D4"/>
    <w:rsid w:val="00877D02"/>
    <w:rsid w:val="00886C80"/>
    <w:rsid w:val="008A324E"/>
    <w:rsid w:val="008A7AD4"/>
    <w:rsid w:val="008C566D"/>
    <w:rsid w:val="008C65EE"/>
    <w:rsid w:val="008C71B5"/>
    <w:rsid w:val="00912205"/>
    <w:rsid w:val="00940D18"/>
    <w:rsid w:val="00950F8B"/>
    <w:rsid w:val="009B0A91"/>
    <w:rsid w:val="009C5485"/>
    <w:rsid w:val="009C659F"/>
    <w:rsid w:val="00A21796"/>
    <w:rsid w:val="00A60583"/>
    <w:rsid w:val="00A74135"/>
    <w:rsid w:val="00A841D1"/>
    <w:rsid w:val="00AC006B"/>
    <w:rsid w:val="00B12307"/>
    <w:rsid w:val="00B36E0D"/>
    <w:rsid w:val="00B60295"/>
    <w:rsid w:val="00B606E2"/>
    <w:rsid w:val="00B65E64"/>
    <w:rsid w:val="00B73F07"/>
    <w:rsid w:val="00B8263C"/>
    <w:rsid w:val="00BA3539"/>
    <w:rsid w:val="00C27FB1"/>
    <w:rsid w:val="00C54377"/>
    <w:rsid w:val="00C74B33"/>
    <w:rsid w:val="00CA3169"/>
    <w:rsid w:val="00CC34D7"/>
    <w:rsid w:val="00CD623B"/>
    <w:rsid w:val="00D146C6"/>
    <w:rsid w:val="00D15DB9"/>
    <w:rsid w:val="00D7031A"/>
    <w:rsid w:val="00DB70DF"/>
    <w:rsid w:val="00DC1F43"/>
    <w:rsid w:val="00DF35EE"/>
    <w:rsid w:val="00E3260E"/>
    <w:rsid w:val="00E76387"/>
    <w:rsid w:val="00ED0B35"/>
    <w:rsid w:val="00ED5293"/>
    <w:rsid w:val="00F10A64"/>
    <w:rsid w:val="00F10DD5"/>
    <w:rsid w:val="00F12E62"/>
    <w:rsid w:val="00F13BEB"/>
    <w:rsid w:val="00F225CB"/>
    <w:rsid w:val="00F23632"/>
    <w:rsid w:val="00F51DC7"/>
    <w:rsid w:val="00FA720E"/>
    <w:rsid w:val="00FB5D56"/>
    <w:rsid w:val="00FD18D1"/>
    <w:rsid w:val="00FD55FD"/>
    <w:rsid w:val="00FE2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8E"/>
    <w:pPr>
      <w:spacing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66D"/>
    <w:pPr>
      <w:ind w:left="720"/>
      <w:contextualSpacing/>
    </w:pPr>
  </w:style>
  <w:style w:type="character" w:styleId="CommentReference">
    <w:name w:val="annotation reference"/>
    <w:uiPriority w:val="99"/>
    <w:semiHidden/>
    <w:rsid w:val="005A4BAC"/>
    <w:rPr>
      <w:rFonts w:cs="Times New Roman"/>
      <w:sz w:val="16"/>
      <w:szCs w:val="16"/>
    </w:rPr>
  </w:style>
  <w:style w:type="paragraph" w:styleId="CommentText">
    <w:name w:val="annotation text"/>
    <w:basedOn w:val="Normal"/>
    <w:link w:val="CommentTextChar"/>
    <w:uiPriority w:val="99"/>
    <w:semiHidden/>
    <w:rsid w:val="005A4BAC"/>
    <w:pPr>
      <w:spacing w:line="240" w:lineRule="auto"/>
    </w:pPr>
    <w:rPr>
      <w:sz w:val="20"/>
      <w:szCs w:val="20"/>
    </w:rPr>
  </w:style>
  <w:style w:type="character" w:customStyle="1" w:styleId="CommentTextChar">
    <w:name w:val="Comment Text Char"/>
    <w:link w:val="CommentText"/>
    <w:uiPriority w:val="99"/>
    <w:semiHidden/>
    <w:locked/>
    <w:rsid w:val="005A4BAC"/>
    <w:rPr>
      <w:rFonts w:cs="Times New Roman"/>
      <w:sz w:val="20"/>
      <w:szCs w:val="20"/>
    </w:rPr>
  </w:style>
  <w:style w:type="paragraph" w:styleId="CommentSubject">
    <w:name w:val="annotation subject"/>
    <w:basedOn w:val="CommentText"/>
    <w:next w:val="CommentText"/>
    <w:link w:val="CommentSubjectChar"/>
    <w:uiPriority w:val="99"/>
    <w:semiHidden/>
    <w:rsid w:val="005A4BAC"/>
    <w:rPr>
      <w:b/>
      <w:bCs/>
    </w:rPr>
  </w:style>
  <w:style w:type="character" w:customStyle="1" w:styleId="CommentSubjectChar">
    <w:name w:val="Comment Subject Char"/>
    <w:link w:val="CommentSubject"/>
    <w:uiPriority w:val="99"/>
    <w:semiHidden/>
    <w:locked/>
    <w:rsid w:val="005A4BAC"/>
    <w:rPr>
      <w:rFonts w:cs="Times New Roman"/>
      <w:b/>
      <w:bCs/>
      <w:sz w:val="20"/>
      <w:szCs w:val="20"/>
    </w:rPr>
  </w:style>
  <w:style w:type="paragraph" w:styleId="BalloonText">
    <w:name w:val="Balloon Text"/>
    <w:basedOn w:val="Normal"/>
    <w:link w:val="BalloonTextChar"/>
    <w:uiPriority w:val="99"/>
    <w:semiHidden/>
    <w:rsid w:val="005A4BAC"/>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5A4BAC"/>
    <w:rPr>
      <w:rFonts w:ascii="Tahoma" w:hAnsi="Tahoma" w:cs="Tahoma"/>
      <w:sz w:val="16"/>
      <w:szCs w:val="16"/>
    </w:rPr>
  </w:style>
  <w:style w:type="paragraph" w:styleId="Footer">
    <w:name w:val="footer"/>
    <w:basedOn w:val="Normal"/>
    <w:link w:val="FooterChar"/>
    <w:uiPriority w:val="99"/>
    <w:rsid w:val="001F4E8B"/>
    <w:pPr>
      <w:tabs>
        <w:tab w:val="center" w:pos="4153"/>
        <w:tab w:val="right" w:pos="8306"/>
      </w:tabs>
    </w:pPr>
  </w:style>
  <w:style w:type="character" w:customStyle="1" w:styleId="FooterChar">
    <w:name w:val="Footer Char"/>
    <w:link w:val="Footer"/>
    <w:uiPriority w:val="99"/>
    <w:semiHidden/>
    <w:locked/>
    <w:rsid w:val="000A522F"/>
    <w:rPr>
      <w:rFonts w:cs="Times New Roman"/>
      <w:lang w:val="en-US" w:eastAsia="en-US"/>
    </w:rPr>
  </w:style>
  <w:style w:type="character" w:styleId="PageNumber">
    <w:name w:val="page number"/>
    <w:uiPriority w:val="99"/>
    <w:rsid w:val="001F4E8B"/>
    <w:rPr>
      <w:rFonts w:cs="Times New Roman"/>
    </w:rPr>
  </w:style>
  <w:style w:type="paragraph" w:styleId="DocumentMap">
    <w:name w:val="Document Map"/>
    <w:basedOn w:val="Normal"/>
    <w:link w:val="DocumentMapChar"/>
    <w:uiPriority w:val="99"/>
    <w:semiHidden/>
    <w:rsid w:val="00805B6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A3A39"/>
    <w:rPr>
      <w:rFonts w:ascii="Times New Roman" w:hAnsi="Times New Roman"/>
      <w:sz w:val="0"/>
      <w:szCs w:val="0"/>
      <w:lang w:val="en-US" w:eastAsia="en-US"/>
    </w:rPr>
  </w:style>
  <w:style w:type="character" w:styleId="Hyperlink">
    <w:name w:val="Hyperlink"/>
    <w:uiPriority w:val="99"/>
    <w:semiHidden/>
    <w:unhideWhenUsed/>
    <w:rsid w:val="00C27FB1"/>
    <w:rPr>
      <w:strike w:val="0"/>
      <w:dstrike w:val="0"/>
      <w:color w:val="000000"/>
      <w:u w:val="none"/>
      <w:effect w:val="none"/>
    </w:rPr>
  </w:style>
  <w:style w:type="paragraph" w:styleId="NormalWeb">
    <w:name w:val="Normal (Web)"/>
    <w:basedOn w:val="Normal"/>
    <w:uiPriority w:val="99"/>
    <w:semiHidden/>
    <w:unhideWhenUsed/>
    <w:rsid w:val="005E470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60AF3"/>
    <w:pPr>
      <w:tabs>
        <w:tab w:val="center" w:pos="4680"/>
        <w:tab w:val="right" w:pos="9360"/>
      </w:tabs>
      <w:spacing w:line="240" w:lineRule="auto"/>
    </w:pPr>
  </w:style>
  <w:style w:type="character" w:customStyle="1" w:styleId="HeaderChar">
    <w:name w:val="Header Char"/>
    <w:basedOn w:val="DefaultParagraphFont"/>
    <w:link w:val="Header"/>
    <w:uiPriority w:val="99"/>
    <w:rsid w:val="00160AF3"/>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34460620">
      <w:bodyDiv w:val="1"/>
      <w:marLeft w:val="0"/>
      <w:marRight w:val="0"/>
      <w:marTop w:val="0"/>
      <w:marBottom w:val="0"/>
      <w:divBdr>
        <w:top w:val="none" w:sz="0" w:space="0" w:color="auto"/>
        <w:left w:val="none" w:sz="0" w:space="0" w:color="auto"/>
        <w:bottom w:val="none" w:sz="0" w:space="0" w:color="auto"/>
        <w:right w:val="none" w:sz="0" w:space="0" w:color="auto"/>
      </w:divBdr>
    </w:div>
    <w:div w:id="17423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business.html"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businessdictionary.com/definition/activity.html" TargetMode="External"/><Relationship Id="rId12" Type="http://schemas.openxmlformats.org/officeDocument/2006/relationships/hyperlink" Target="http://www.businessdictionary.com/definition/commercial-transac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custom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sinessdictionary.com/definition/practice.html" TargetMode="External"/><Relationship Id="rId4" Type="http://schemas.openxmlformats.org/officeDocument/2006/relationships/webSettings" Target="webSettings.xml"/><Relationship Id="rId9" Type="http://schemas.openxmlformats.org/officeDocument/2006/relationships/hyperlink" Target="http://www.businessdictionary.com/definition/comm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1948</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Varadarajan-P-VP-Legal&amp;CompanySecretary-HYD-Coromandel</dc:creator>
  <cp:keywords/>
  <dc:description/>
  <cp:lastModifiedBy>admin</cp:lastModifiedBy>
  <cp:revision>20</cp:revision>
  <dcterms:created xsi:type="dcterms:W3CDTF">2015-01-18T13:57:00Z</dcterms:created>
  <dcterms:modified xsi:type="dcterms:W3CDTF">2015-08-05T08:06:00Z</dcterms:modified>
</cp:coreProperties>
</file>